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52DF" w14:textId="77777777" w:rsidR="007439E6" w:rsidRPr="003A3D59" w:rsidRDefault="007439E6" w:rsidP="007439E6">
      <w:pPr>
        <w:pStyle w:val="TituloSBAC"/>
        <w:tabs>
          <w:tab w:val="left" w:pos="709"/>
          <w:tab w:val="left" w:pos="8505"/>
        </w:tabs>
        <w:ind w:right="423"/>
        <w:jc w:val="center"/>
        <w:rPr>
          <w:color w:val="auto"/>
          <w:sz w:val="24"/>
          <w:szCs w:val="24"/>
          <w:lang w:val="pt-BR"/>
        </w:rPr>
      </w:pPr>
      <w:r w:rsidRPr="003A3D59">
        <w:rPr>
          <w:color w:val="auto"/>
          <w:sz w:val="24"/>
          <w:szCs w:val="24"/>
          <w:lang w:val="pt-BR"/>
        </w:rPr>
        <w:t>Revista Brasileira de Análise Clínicas</w:t>
      </w:r>
    </w:p>
    <w:p w14:paraId="025D1EC9" w14:textId="0BDA4EA3" w:rsidR="007439E6" w:rsidRDefault="007439E6" w:rsidP="007439E6">
      <w:pPr>
        <w:pStyle w:val="RBACTituloportugues"/>
        <w:jc w:val="center"/>
        <w:rPr>
          <w:color w:val="auto"/>
          <w:sz w:val="20"/>
          <w:szCs w:val="20"/>
          <w:lang w:val="pt-BR"/>
        </w:rPr>
      </w:pPr>
      <w:r w:rsidRPr="003A3D59">
        <w:rPr>
          <w:color w:val="auto"/>
          <w:sz w:val="20"/>
          <w:szCs w:val="20"/>
          <w:lang w:val="pt-BR"/>
        </w:rPr>
        <w:t>Vol. 5</w:t>
      </w:r>
      <w:r>
        <w:rPr>
          <w:color w:val="auto"/>
          <w:sz w:val="20"/>
          <w:szCs w:val="20"/>
          <w:lang w:val="pt-BR"/>
        </w:rPr>
        <w:t>3</w:t>
      </w:r>
      <w:r w:rsidRPr="003A3D59">
        <w:rPr>
          <w:color w:val="auto"/>
          <w:sz w:val="20"/>
          <w:szCs w:val="20"/>
          <w:lang w:val="pt-BR"/>
        </w:rPr>
        <w:t xml:space="preserve"> – Número </w:t>
      </w:r>
      <w:r>
        <w:rPr>
          <w:color w:val="auto"/>
          <w:sz w:val="20"/>
          <w:szCs w:val="20"/>
          <w:lang w:val="pt-BR"/>
        </w:rPr>
        <w:t>2</w:t>
      </w:r>
      <w:r w:rsidRPr="003A3D59">
        <w:rPr>
          <w:color w:val="auto"/>
          <w:sz w:val="20"/>
          <w:szCs w:val="20"/>
          <w:lang w:val="pt-BR"/>
        </w:rPr>
        <w:t xml:space="preserve"> – 202</w:t>
      </w:r>
      <w:r>
        <w:rPr>
          <w:color w:val="auto"/>
          <w:sz w:val="20"/>
          <w:szCs w:val="20"/>
          <w:lang w:val="pt-BR"/>
        </w:rPr>
        <w:t>1</w:t>
      </w:r>
    </w:p>
    <w:p w14:paraId="510780BB" w14:textId="4DBEF636" w:rsidR="007439E6" w:rsidRPr="00435214" w:rsidRDefault="007439E6" w:rsidP="007439E6">
      <w:pPr>
        <w:pStyle w:val="RBACtituloingles"/>
        <w:jc w:val="center"/>
        <w:rPr>
          <w:i w:val="0"/>
          <w:iCs w:val="0"/>
          <w:sz w:val="22"/>
          <w:szCs w:val="22"/>
        </w:rPr>
      </w:pPr>
      <w:r w:rsidRPr="00435214">
        <w:rPr>
          <w:i w:val="0"/>
          <w:iCs w:val="0"/>
          <w:sz w:val="22"/>
          <w:szCs w:val="22"/>
        </w:rPr>
        <w:t>EDIÇÃO ESPECIAL COVID</w:t>
      </w:r>
    </w:p>
    <w:p w14:paraId="1D29F765" w14:textId="77777777" w:rsidR="007439E6" w:rsidRPr="00435214" w:rsidRDefault="007439E6" w:rsidP="007439E6">
      <w:pPr>
        <w:pStyle w:val="RBACtituloingles"/>
      </w:pPr>
    </w:p>
    <w:p w14:paraId="48F6E7A0" w14:textId="77777777" w:rsidR="007F42F9" w:rsidRDefault="007F42F9" w:rsidP="007F42F9">
      <w:pPr>
        <w:pStyle w:val="RBACcategoriaartigo"/>
        <w:jc w:val="left"/>
        <w:rPr>
          <w:i/>
          <w:iCs/>
        </w:rPr>
      </w:pPr>
      <w:r>
        <w:rPr>
          <w:i/>
          <w:iCs/>
        </w:rPr>
        <w:t>Carta ao Editor/</w:t>
      </w:r>
      <w:proofErr w:type="spellStart"/>
      <w:r>
        <w:rPr>
          <w:i/>
          <w:iCs/>
        </w:rPr>
        <w:t>Letter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to</w:t>
      </w:r>
      <w:proofErr w:type="spellEnd"/>
      <w:r>
        <w:rPr>
          <w:i/>
          <w:iCs/>
        </w:rPr>
        <w:t xml:space="preserve"> Editor</w:t>
      </w:r>
    </w:p>
    <w:p w14:paraId="6D063ED3" w14:textId="4320B932" w:rsidR="00810D2D" w:rsidRDefault="00810D2D" w:rsidP="007F42F9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</w:pPr>
    </w:p>
    <w:p w14:paraId="55B7279A" w14:textId="77777777" w:rsidR="00CC5492" w:rsidRPr="00CC5492" w:rsidRDefault="00CC5492" w:rsidP="00CC549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7B94"/>
          <w:sz w:val="32"/>
          <w:szCs w:val="32"/>
        </w:rPr>
      </w:pPr>
      <w:r w:rsidRPr="00CC5492">
        <w:rPr>
          <w:rFonts w:ascii="Arial" w:hAnsi="Arial" w:cs="Arial"/>
          <w:b/>
          <w:bCs/>
          <w:color w:val="007B94"/>
          <w:sz w:val="32"/>
          <w:szCs w:val="32"/>
        </w:rPr>
        <w:t>O impacto da COVID-19 na malária</w:t>
      </w:r>
    </w:p>
    <w:p w14:paraId="6E7726CB" w14:textId="77777777" w:rsidR="00CC5492" w:rsidRPr="00CC5492" w:rsidRDefault="00CC5492" w:rsidP="00CC5492">
      <w:pPr>
        <w:suppressAutoHyphens/>
        <w:autoSpaceDE w:val="0"/>
        <w:autoSpaceDN w:val="0"/>
        <w:adjustRightInd w:val="0"/>
        <w:spacing w:before="57" w:line="288" w:lineRule="auto"/>
        <w:textAlignment w:val="center"/>
        <w:rPr>
          <w:rFonts w:ascii="Arial" w:hAnsi="Arial" w:cs="Arial"/>
          <w:b/>
          <w:bCs/>
          <w:i/>
          <w:iCs/>
          <w:color w:val="000000"/>
          <w:lang w:val="en-US"/>
        </w:rPr>
      </w:pPr>
      <w:r w:rsidRPr="00CC5492">
        <w:rPr>
          <w:rFonts w:ascii="Arial" w:hAnsi="Arial" w:cs="Arial"/>
          <w:b/>
          <w:bCs/>
          <w:i/>
          <w:iCs/>
          <w:color w:val="000000"/>
          <w:lang w:val="en-US"/>
        </w:rPr>
        <w:t>The impact of COVID-19 on malaria</w:t>
      </w:r>
    </w:p>
    <w:p w14:paraId="461125D6" w14:textId="6C183081" w:rsidR="00C304BF" w:rsidRDefault="00C304BF" w:rsidP="00CC549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lang w:val="en-US"/>
        </w:rPr>
      </w:pPr>
    </w:p>
    <w:p w14:paraId="7709C151" w14:textId="4C4A3563" w:rsidR="00CC5492" w:rsidRDefault="00CC5492" w:rsidP="00CC549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lang w:val="en-US"/>
        </w:rPr>
      </w:pPr>
    </w:p>
    <w:p w14:paraId="2660B239" w14:textId="77777777" w:rsidR="00CC5492" w:rsidRPr="00CC5492" w:rsidRDefault="00CC5492" w:rsidP="00CC5492">
      <w:pPr>
        <w:pBdr>
          <w:top w:val="single" w:sz="4" w:space="10" w:color="007B94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i/>
          <w:iCs/>
          <w:color w:val="000000"/>
          <w:sz w:val="16"/>
          <w:szCs w:val="16"/>
          <w:vertAlign w:val="superscript"/>
          <w:lang w:val="pt-PT"/>
        </w:rPr>
      </w:pPr>
      <w:r w:rsidRPr="00CC5492">
        <w:rPr>
          <w:rFonts w:ascii="Arial" w:hAnsi="Arial" w:cs="Arial"/>
          <w:i/>
          <w:iCs/>
          <w:color w:val="000000"/>
          <w:sz w:val="16"/>
          <w:szCs w:val="16"/>
          <w:lang w:val="pt-PT"/>
        </w:rPr>
        <w:t>Ricardo Luiz Dantas Machado</w:t>
      </w:r>
      <w:r w:rsidRPr="00CC5492">
        <w:rPr>
          <w:rFonts w:ascii="Arial" w:hAnsi="Arial" w:cs="Arial"/>
          <w:i/>
          <w:iCs/>
          <w:color w:val="000000"/>
          <w:sz w:val="16"/>
          <w:szCs w:val="16"/>
          <w:vertAlign w:val="superscript"/>
          <w:lang w:val="pt-PT"/>
        </w:rPr>
        <w:t>1</w:t>
      </w:r>
    </w:p>
    <w:p w14:paraId="55EF05A2" w14:textId="66A1F7FE" w:rsidR="00CC5492" w:rsidRDefault="00CC5492" w:rsidP="00CC549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lang w:val="en-US"/>
        </w:rPr>
      </w:pPr>
    </w:p>
    <w:p w14:paraId="3B96913D" w14:textId="77777777" w:rsidR="00CC5492" w:rsidRPr="00CC5492" w:rsidRDefault="00CC5492" w:rsidP="00CC5492">
      <w:pPr>
        <w:tabs>
          <w:tab w:val="left" w:pos="113"/>
          <w:tab w:val="left" w:pos="227"/>
          <w:tab w:val="left" w:pos="340"/>
          <w:tab w:val="left" w:pos="454"/>
          <w:tab w:val="left" w:pos="567"/>
          <w:tab w:val="left" w:pos="680"/>
          <w:tab w:val="left" w:pos="794"/>
          <w:tab w:val="left" w:pos="907"/>
          <w:tab w:val="left" w:pos="1020"/>
          <w:tab w:val="left" w:pos="1134"/>
          <w:tab w:val="left" w:pos="1247"/>
          <w:tab w:val="left" w:pos="1361"/>
          <w:tab w:val="left" w:pos="1474"/>
          <w:tab w:val="left" w:pos="1587"/>
          <w:tab w:val="left" w:pos="1701"/>
          <w:tab w:val="left" w:pos="1814"/>
          <w:tab w:val="left" w:pos="1928"/>
          <w:tab w:val="left" w:pos="2041"/>
          <w:tab w:val="left" w:pos="2154"/>
          <w:tab w:val="left" w:pos="2268"/>
          <w:tab w:val="left" w:pos="2381"/>
          <w:tab w:val="left" w:pos="2494"/>
          <w:tab w:val="left" w:pos="2608"/>
          <w:tab w:val="left" w:pos="2721"/>
          <w:tab w:val="left" w:pos="2835"/>
          <w:tab w:val="left" w:pos="2948"/>
          <w:tab w:val="left" w:pos="3061"/>
          <w:tab w:val="left" w:pos="3175"/>
          <w:tab w:val="left" w:pos="3288"/>
          <w:tab w:val="left" w:pos="3402"/>
          <w:tab w:val="left" w:pos="3515"/>
          <w:tab w:val="left" w:pos="3628"/>
          <w:tab w:val="left" w:pos="3742"/>
          <w:tab w:val="left" w:pos="3855"/>
          <w:tab w:val="left" w:pos="3969"/>
          <w:tab w:val="left" w:pos="4082"/>
          <w:tab w:val="left" w:pos="4195"/>
          <w:tab w:val="left" w:pos="4309"/>
        </w:tabs>
        <w:suppressAutoHyphens/>
        <w:autoSpaceDE w:val="0"/>
        <w:autoSpaceDN w:val="0"/>
        <w:adjustRightInd w:val="0"/>
        <w:spacing w:line="288" w:lineRule="auto"/>
        <w:ind w:left="113" w:hanging="113"/>
        <w:textAlignment w:val="center"/>
        <w:rPr>
          <w:rFonts w:ascii="Arial" w:hAnsi="Arial" w:cs="Arial"/>
          <w:i/>
          <w:iCs/>
          <w:color w:val="000000"/>
          <w:sz w:val="15"/>
          <w:szCs w:val="15"/>
        </w:rPr>
      </w:pPr>
      <w:r w:rsidRPr="00CC5492">
        <w:rPr>
          <w:rFonts w:ascii="Arial" w:hAnsi="Arial" w:cs="Arial"/>
          <w:i/>
          <w:iCs/>
          <w:color w:val="000000"/>
          <w:sz w:val="15"/>
          <w:szCs w:val="15"/>
          <w:vertAlign w:val="superscript"/>
        </w:rPr>
        <w:t>1</w:t>
      </w:r>
      <w:r w:rsidRPr="00CC5492">
        <w:rPr>
          <w:rFonts w:ascii="Arial" w:hAnsi="Arial" w:cs="Arial"/>
          <w:i/>
          <w:iCs/>
          <w:color w:val="000000"/>
          <w:sz w:val="15"/>
          <w:szCs w:val="15"/>
        </w:rPr>
        <w:tab/>
        <w:t>Professor Titular e Livre-Docente em Parasitologia Humana. Centro de Investigação de Microrganismos. Departamento de Microbiologia e Parasitologia - Universidade Federal Fluminense (UFF), Niterói, RJ, Brasil.</w:t>
      </w:r>
    </w:p>
    <w:p w14:paraId="1A4EB0B2" w14:textId="77777777" w:rsidR="00CC5492" w:rsidRPr="00CC5492" w:rsidRDefault="00CC5492" w:rsidP="00CC549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15"/>
          <w:szCs w:val="15"/>
          <w:lang w:val="pt-PT"/>
        </w:rPr>
      </w:pPr>
    </w:p>
    <w:p w14:paraId="57DD66D8" w14:textId="77777777" w:rsidR="00CC5492" w:rsidRPr="00CC5492" w:rsidRDefault="00CC5492" w:rsidP="00CC549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i/>
          <w:iCs/>
          <w:color w:val="000000"/>
          <w:sz w:val="15"/>
          <w:szCs w:val="15"/>
        </w:rPr>
      </w:pPr>
      <w:r w:rsidRPr="00CC5492">
        <w:rPr>
          <w:rFonts w:ascii="Arial" w:hAnsi="Arial" w:cs="Arial"/>
          <w:i/>
          <w:iCs/>
          <w:color w:val="000000"/>
          <w:sz w:val="15"/>
          <w:szCs w:val="15"/>
        </w:rPr>
        <w:t>Recebido em 10/03/2021</w:t>
      </w:r>
    </w:p>
    <w:p w14:paraId="63BF3F90" w14:textId="77777777" w:rsidR="00CC5492" w:rsidRPr="00CC5492" w:rsidRDefault="00CC5492" w:rsidP="00CC549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i/>
          <w:iCs/>
          <w:color w:val="000000"/>
          <w:sz w:val="15"/>
          <w:szCs w:val="15"/>
        </w:rPr>
      </w:pPr>
      <w:r w:rsidRPr="00CC5492">
        <w:rPr>
          <w:rFonts w:ascii="Arial" w:hAnsi="Arial" w:cs="Arial"/>
          <w:i/>
          <w:iCs/>
          <w:color w:val="000000"/>
          <w:sz w:val="15"/>
          <w:szCs w:val="15"/>
        </w:rPr>
        <w:t>Aprovado em 29/04/2021</w:t>
      </w:r>
    </w:p>
    <w:p w14:paraId="3AF66203" w14:textId="77777777" w:rsidR="00CC5492" w:rsidRPr="00CC5492" w:rsidRDefault="00CC5492" w:rsidP="00CC549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i/>
          <w:iCs/>
          <w:color w:val="000000"/>
          <w:sz w:val="15"/>
          <w:szCs w:val="15"/>
        </w:rPr>
      </w:pPr>
      <w:r w:rsidRPr="00CC5492">
        <w:rPr>
          <w:rFonts w:ascii="Arial" w:hAnsi="Arial" w:cs="Arial"/>
          <w:i/>
          <w:iCs/>
          <w:color w:val="000000"/>
          <w:sz w:val="15"/>
          <w:szCs w:val="15"/>
        </w:rPr>
        <w:t>DOI: 10.21877/2448-3877.202100969</w:t>
      </w:r>
    </w:p>
    <w:p w14:paraId="6EB3A975" w14:textId="191AD9BF" w:rsidR="00CC5492" w:rsidRDefault="00CC5492" w:rsidP="00CC549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</w:pPr>
    </w:p>
    <w:p w14:paraId="362020E5" w14:textId="099AC6FD" w:rsidR="00CC5492" w:rsidRDefault="00CC5492" w:rsidP="00CC5492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</w:pPr>
    </w:p>
    <w:p w14:paraId="5D67C030" w14:textId="77777777" w:rsidR="00CC5492" w:rsidRPr="00CC5492" w:rsidRDefault="00CC5492" w:rsidP="00CC5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50" w:lineRule="atLeast"/>
        <w:ind w:firstLine="454"/>
        <w:jc w:val="both"/>
        <w:textAlignment w:val="center"/>
        <w:rPr>
          <w:rFonts w:ascii="Arial" w:hAnsi="Arial" w:cs="Arial"/>
          <w:color w:val="000000"/>
          <w:sz w:val="19"/>
          <w:szCs w:val="19"/>
        </w:rPr>
      </w:pPr>
      <w:r w:rsidRPr="00CC5492">
        <w:rPr>
          <w:rFonts w:ascii="Arial" w:hAnsi="Arial" w:cs="Arial"/>
          <w:i/>
          <w:iCs/>
          <w:color w:val="000000"/>
          <w:sz w:val="19"/>
          <w:szCs w:val="19"/>
        </w:rPr>
        <w:t>Prezado Editor,</w:t>
      </w:r>
    </w:p>
    <w:p w14:paraId="7044EC2B" w14:textId="77777777" w:rsidR="00CC5492" w:rsidRPr="00CC5492" w:rsidRDefault="00CC5492" w:rsidP="00CC5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50" w:lineRule="atLeast"/>
        <w:ind w:firstLine="454"/>
        <w:jc w:val="both"/>
        <w:textAlignment w:val="center"/>
        <w:rPr>
          <w:rFonts w:ascii="Arial" w:hAnsi="Arial" w:cs="Arial"/>
          <w:color w:val="000000"/>
          <w:sz w:val="19"/>
          <w:szCs w:val="19"/>
        </w:rPr>
      </w:pPr>
    </w:p>
    <w:p w14:paraId="1F251BB1" w14:textId="77777777" w:rsidR="00CC5492" w:rsidRPr="00CC5492" w:rsidRDefault="00CC5492" w:rsidP="00CC5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50" w:lineRule="atLeast"/>
        <w:ind w:firstLine="454"/>
        <w:jc w:val="both"/>
        <w:textAlignment w:val="center"/>
        <w:rPr>
          <w:rFonts w:ascii="Arial" w:hAnsi="Arial" w:cs="Arial"/>
          <w:color w:val="000000"/>
          <w:sz w:val="19"/>
          <w:szCs w:val="19"/>
        </w:rPr>
      </w:pPr>
      <w:r w:rsidRPr="00CC5492">
        <w:rPr>
          <w:rFonts w:ascii="Arial" w:hAnsi="Arial" w:cs="Arial"/>
          <w:color w:val="000000"/>
          <w:sz w:val="19"/>
          <w:szCs w:val="19"/>
        </w:rPr>
        <w:t xml:space="preserve">A malária é considerada um importante problema de saúde pública com impactos na economia e na sociedade de países onde a doença é endêmica nas regiões tropicais e subtropicais do mundo. É uma doença infecciosa cuja transmissão ocorre durante a ingestão de sangue dos vetores no hospedeiro vertebrado, quando inoculam formas evolutivas do parasito que, pela via circulatória, invadem os hepatócitos e posteriormente as hemácias. A aquisição das formas infecciosas do vetor advém de indivíduos doentes ou portadores </w:t>
      </w:r>
      <w:proofErr w:type="gramStart"/>
      <w:r w:rsidRPr="00CC5492">
        <w:rPr>
          <w:rFonts w:ascii="Arial" w:hAnsi="Arial" w:cs="Arial"/>
          <w:color w:val="000000"/>
          <w:sz w:val="19"/>
          <w:szCs w:val="19"/>
        </w:rPr>
        <w:t>assintomáticos.</w:t>
      </w:r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>(</w:t>
      </w:r>
      <w:proofErr w:type="gramEnd"/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>1)</w:t>
      </w:r>
    </w:p>
    <w:p w14:paraId="6DA428B2" w14:textId="77777777" w:rsidR="00CC5492" w:rsidRPr="00CC5492" w:rsidRDefault="00CC5492" w:rsidP="00CC5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50" w:lineRule="atLeast"/>
        <w:ind w:firstLine="454"/>
        <w:jc w:val="both"/>
        <w:textAlignment w:val="center"/>
        <w:rPr>
          <w:rFonts w:ascii="Arial" w:hAnsi="Arial" w:cs="Arial"/>
          <w:color w:val="000000"/>
          <w:sz w:val="19"/>
          <w:szCs w:val="19"/>
        </w:rPr>
      </w:pPr>
      <w:r w:rsidRPr="00CC5492">
        <w:rPr>
          <w:rFonts w:ascii="Arial" w:hAnsi="Arial" w:cs="Arial"/>
          <w:color w:val="000000"/>
          <w:sz w:val="19"/>
          <w:szCs w:val="19"/>
        </w:rPr>
        <w:t xml:space="preserve">O protozoário responsável pela malária é do gênero </w:t>
      </w:r>
      <w:proofErr w:type="spellStart"/>
      <w:r w:rsidRPr="00CC5492">
        <w:rPr>
          <w:rFonts w:ascii="Arial" w:hAnsi="Arial" w:cs="Arial"/>
          <w:i/>
          <w:iCs/>
          <w:color w:val="000000"/>
          <w:sz w:val="19"/>
          <w:szCs w:val="19"/>
        </w:rPr>
        <w:t>Plasmodium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, pertencente ao filo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Apicomplexa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e à família </w:t>
      </w:r>
      <w:proofErr w:type="spellStart"/>
      <w:r w:rsidRPr="00CC5492">
        <w:rPr>
          <w:rFonts w:ascii="Arial" w:hAnsi="Arial" w:cs="Arial"/>
          <w:i/>
          <w:iCs/>
          <w:color w:val="000000"/>
          <w:sz w:val="19"/>
          <w:szCs w:val="19"/>
        </w:rPr>
        <w:t>Plasmodiidae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. Atualmente, são conhecidas cerca de 170 espécies que causam a doença em diferentes hospedeiros vertebrados; destes, apenas cinco parasitam o homem: </w:t>
      </w:r>
      <w:proofErr w:type="spellStart"/>
      <w:r w:rsidRPr="00CC5492">
        <w:rPr>
          <w:rFonts w:ascii="Arial" w:hAnsi="Arial" w:cs="Arial"/>
          <w:i/>
          <w:iCs/>
          <w:color w:val="000000"/>
          <w:sz w:val="19"/>
          <w:szCs w:val="19"/>
        </w:rPr>
        <w:t>Plasmodium</w:t>
      </w:r>
      <w:proofErr w:type="spellEnd"/>
      <w:r w:rsidRPr="00CC5492">
        <w:rPr>
          <w:rFonts w:ascii="Arial" w:hAnsi="Arial" w:cs="Arial"/>
          <w:i/>
          <w:iCs/>
          <w:color w:val="000000"/>
          <w:sz w:val="19"/>
          <w:szCs w:val="19"/>
        </w:rPr>
        <w:t xml:space="preserve"> </w:t>
      </w:r>
      <w:proofErr w:type="spellStart"/>
      <w:r w:rsidRPr="00CC5492">
        <w:rPr>
          <w:rFonts w:ascii="Arial" w:hAnsi="Arial" w:cs="Arial"/>
          <w:i/>
          <w:iCs/>
          <w:color w:val="000000"/>
          <w:sz w:val="19"/>
          <w:szCs w:val="19"/>
        </w:rPr>
        <w:t>falciparum</w:t>
      </w:r>
      <w:proofErr w:type="spellEnd"/>
      <w:r w:rsidRPr="00CC5492">
        <w:rPr>
          <w:rFonts w:ascii="Arial" w:hAnsi="Arial" w:cs="Arial"/>
          <w:i/>
          <w:iCs/>
          <w:color w:val="000000"/>
          <w:sz w:val="19"/>
          <w:szCs w:val="19"/>
        </w:rPr>
        <w:t xml:space="preserve">, </w:t>
      </w:r>
      <w:proofErr w:type="spellStart"/>
      <w:r w:rsidRPr="00CC5492">
        <w:rPr>
          <w:rFonts w:ascii="Arial" w:hAnsi="Arial" w:cs="Arial"/>
          <w:i/>
          <w:iCs/>
          <w:color w:val="000000"/>
          <w:sz w:val="19"/>
          <w:szCs w:val="19"/>
        </w:rPr>
        <w:t>Plasmodium</w:t>
      </w:r>
      <w:proofErr w:type="spellEnd"/>
      <w:r w:rsidRPr="00CC5492">
        <w:rPr>
          <w:rFonts w:ascii="Arial" w:hAnsi="Arial" w:cs="Arial"/>
          <w:i/>
          <w:iCs/>
          <w:color w:val="000000"/>
          <w:sz w:val="19"/>
          <w:szCs w:val="19"/>
        </w:rPr>
        <w:t xml:space="preserve"> </w:t>
      </w:r>
      <w:proofErr w:type="spellStart"/>
      <w:r w:rsidRPr="00CC5492">
        <w:rPr>
          <w:rFonts w:ascii="Arial" w:hAnsi="Arial" w:cs="Arial"/>
          <w:i/>
          <w:iCs/>
          <w:color w:val="000000"/>
          <w:sz w:val="19"/>
          <w:szCs w:val="19"/>
        </w:rPr>
        <w:t>vivax</w:t>
      </w:r>
      <w:proofErr w:type="spellEnd"/>
      <w:r w:rsidRPr="00CC5492">
        <w:rPr>
          <w:rFonts w:ascii="Arial" w:hAnsi="Arial" w:cs="Arial"/>
          <w:i/>
          <w:iCs/>
          <w:color w:val="000000"/>
          <w:sz w:val="19"/>
          <w:szCs w:val="19"/>
        </w:rPr>
        <w:t xml:space="preserve">, </w:t>
      </w:r>
      <w:proofErr w:type="spellStart"/>
      <w:r w:rsidRPr="00CC5492">
        <w:rPr>
          <w:rFonts w:ascii="Arial" w:hAnsi="Arial" w:cs="Arial"/>
          <w:i/>
          <w:iCs/>
          <w:color w:val="000000"/>
          <w:sz w:val="19"/>
          <w:szCs w:val="19"/>
        </w:rPr>
        <w:t>Plasmodium</w:t>
      </w:r>
      <w:proofErr w:type="spellEnd"/>
      <w:r w:rsidRPr="00CC5492">
        <w:rPr>
          <w:rFonts w:ascii="Arial" w:hAnsi="Arial" w:cs="Arial"/>
          <w:i/>
          <w:iCs/>
          <w:color w:val="000000"/>
          <w:sz w:val="19"/>
          <w:szCs w:val="19"/>
        </w:rPr>
        <w:t xml:space="preserve"> </w:t>
      </w:r>
      <w:proofErr w:type="spellStart"/>
      <w:r w:rsidRPr="00CC5492">
        <w:rPr>
          <w:rFonts w:ascii="Arial" w:hAnsi="Arial" w:cs="Arial"/>
          <w:i/>
          <w:iCs/>
          <w:color w:val="000000"/>
          <w:sz w:val="19"/>
          <w:szCs w:val="19"/>
        </w:rPr>
        <w:t>malariae</w:t>
      </w:r>
      <w:proofErr w:type="spellEnd"/>
      <w:r w:rsidRPr="00CC5492">
        <w:rPr>
          <w:rFonts w:ascii="Arial" w:hAnsi="Arial" w:cs="Arial"/>
          <w:i/>
          <w:iCs/>
          <w:color w:val="000000"/>
          <w:sz w:val="19"/>
          <w:szCs w:val="19"/>
        </w:rPr>
        <w:t xml:space="preserve">, </w:t>
      </w:r>
      <w:proofErr w:type="spellStart"/>
      <w:r w:rsidRPr="00CC5492">
        <w:rPr>
          <w:rFonts w:ascii="Arial" w:hAnsi="Arial" w:cs="Arial"/>
          <w:i/>
          <w:iCs/>
          <w:color w:val="000000"/>
          <w:sz w:val="19"/>
          <w:szCs w:val="19"/>
        </w:rPr>
        <w:t>Plasmodium</w:t>
      </w:r>
      <w:proofErr w:type="spellEnd"/>
      <w:r w:rsidRPr="00CC5492">
        <w:rPr>
          <w:rFonts w:ascii="Arial" w:hAnsi="Arial" w:cs="Arial"/>
          <w:i/>
          <w:iCs/>
          <w:color w:val="000000"/>
          <w:sz w:val="19"/>
          <w:szCs w:val="19"/>
        </w:rPr>
        <w:t xml:space="preserve"> ovale</w:t>
      </w:r>
      <w:r w:rsidRPr="00CC5492">
        <w:rPr>
          <w:rFonts w:ascii="Arial" w:hAnsi="Arial" w:cs="Arial"/>
          <w:color w:val="000000"/>
          <w:sz w:val="19"/>
          <w:szCs w:val="19"/>
        </w:rPr>
        <w:t xml:space="preserve"> e </w:t>
      </w:r>
      <w:proofErr w:type="spellStart"/>
      <w:r w:rsidRPr="00CC5492">
        <w:rPr>
          <w:rFonts w:ascii="Arial" w:hAnsi="Arial" w:cs="Arial"/>
          <w:i/>
          <w:iCs/>
          <w:color w:val="000000"/>
          <w:sz w:val="19"/>
          <w:szCs w:val="19"/>
        </w:rPr>
        <w:t>Plasmodium</w:t>
      </w:r>
      <w:proofErr w:type="spellEnd"/>
      <w:r w:rsidRPr="00CC5492">
        <w:rPr>
          <w:rFonts w:ascii="Arial" w:hAnsi="Arial" w:cs="Arial"/>
          <w:i/>
          <w:iCs/>
          <w:color w:val="000000"/>
          <w:sz w:val="19"/>
          <w:szCs w:val="19"/>
        </w:rPr>
        <w:t xml:space="preserve"> </w:t>
      </w:r>
      <w:proofErr w:type="spellStart"/>
      <w:r w:rsidRPr="00CC5492">
        <w:rPr>
          <w:rFonts w:ascii="Arial" w:hAnsi="Arial" w:cs="Arial"/>
          <w:i/>
          <w:iCs/>
          <w:color w:val="000000"/>
          <w:sz w:val="19"/>
          <w:szCs w:val="19"/>
        </w:rPr>
        <w:t>knowlesi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. No Brasil, não há registros da transmissão nativa de </w:t>
      </w:r>
      <w:r w:rsidRPr="00CC5492">
        <w:rPr>
          <w:rFonts w:ascii="Arial" w:hAnsi="Arial" w:cs="Arial"/>
          <w:i/>
          <w:iCs/>
          <w:color w:val="000000"/>
          <w:sz w:val="19"/>
          <w:szCs w:val="19"/>
        </w:rPr>
        <w:t>P. ovale</w:t>
      </w:r>
      <w:r w:rsidRPr="00CC5492">
        <w:rPr>
          <w:rFonts w:ascii="Arial" w:hAnsi="Arial" w:cs="Arial"/>
          <w:color w:val="000000"/>
          <w:sz w:val="19"/>
          <w:szCs w:val="19"/>
        </w:rPr>
        <w:t xml:space="preserve"> (África e Ásia) ou de </w:t>
      </w:r>
      <w:r w:rsidRPr="00CC5492">
        <w:rPr>
          <w:rFonts w:ascii="Arial" w:hAnsi="Arial" w:cs="Arial"/>
          <w:i/>
          <w:iCs/>
          <w:color w:val="000000"/>
          <w:sz w:val="19"/>
          <w:szCs w:val="19"/>
        </w:rPr>
        <w:t xml:space="preserve">P. </w:t>
      </w:r>
      <w:proofErr w:type="spellStart"/>
      <w:r w:rsidRPr="00CC5492">
        <w:rPr>
          <w:rFonts w:ascii="Arial" w:hAnsi="Arial" w:cs="Arial"/>
          <w:i/>
          <w:iCs/>
          <w:color w:val="000000"/>
          <w:sz w:val="19"/>
          <w:szCs w:val="19"/>
        </w:rPr>
        <w:t>knowlesi</w:t>
      </w:r>
      <w:proofErr w:type="spellEnd"/>
      <w:r w:rsidRPr="00CC5492">
        <w:rPr>
          <w:rFonts w:ascii="Arial" w:hAnsi="Arial" w:cs="Arial"/>
          <w:i/>
          <w:iCs/>
          <w:color w:val="000000"/>
          <w:sz w:val="19"/>
          <w:szCs w:val="19"/>
        </w:rPr>
        <w:t xml:space="preserve"> </w:t>
      </w:r>
      <w:r w:rsidRPr="00CC5492">
        <w:rPr>
          <w:rFonts w:ascii="Arial" w:hAnsi="Arial" w:cs="Arial"/>
          <w:color w:val="000000"/>
          <w:sz w:val="19"/>
          <w:szCs w:val="19"/>
        </w:rPr>
        <w:t xml:space="preserve">(responsável ​​por casos de zoonoses no Sudeste Asiático). O </w:t>
      </w:r>
      <w:r w:rsidRPr="00CC5492">
        <w:rPr>
          <w:rFonts w:ascii="Arial" w:hAnsi="Arial" w:cs="Arial"/>
          <w:i/>
          <w:iCs/>
          <w:color w:val="000000"/>
          <w:sz w:val="19"/>
          <w:szCs w:val="19"/>
        </w:rPr>
        <w:t xml:space="preserve">P. </w:t>
      </w:r>
      <w:proofErr w:type="spellStart"/>
      <w:r w:rsidRPr="00CC5492">
        <w:rPr>
          <w:rFonts w:ascii="Arial" w:hAnsi="Arial" w:cs="Arial"/>
          <w:i/>
          <w:iCs/>
          <w:color w:val="000000"/>
          <w:sz w:val="19"/>
          <w:szCs w:val="19"/>
        </w:rPr>
        <w:t>falciparum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está associado às maiores taxas de mortalidade e virulência, especialmente na África Subsaariana, no entanto </w:t>
      </w:r>
      <w:r w:rsidRPr="00CC5492">
        <w:rPr>
          <w:rFonts w:ascii="Arial" w:hAnsi="Arial" w:cs="Arial"/>
          <w:i/>
          <w:iCs/>
          <w:color w:val="000000"/>
          <w:sz w:val="19"/>
          <w:szCs w:val="19"/>
        </w:rPr>
        <w:t xml:space="preserve">P. </w:t>
      </w:r>
      <w:proofErr w:type="spellStart"/>
      <w:r w:rsidRPr="00CC5492">
        <w:rPr>
          <w:rFonts w:ascii="Arial" w:hAnsi="Arial" w:cs="Arial"/>
          <w:i/>
          <w:iCs/>
          <w:color w:val="000000"/>
          <w:sz w:val="19"/>
          <w:szCs w:val="19"/>
        </w:rPr>
        <w:t>vivax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é a espécie mais difundida geograficamente, particularmente no Sul e Sudeste Asiático, América Central e América do Sul, sendo responsável por mais de 40% de casos de malária em todo o mundo. O </w:t>
      </w:r>
      <w:r w:rsidRPr="00CC5492">
        <w:rPr>
          <w:rFonts w:ascii="Arial" w:hAnsi="Arial" w:cs="Arial"/>
          <w:i/>
          <w:iCs/>
          <w:color w:val="000000"/>
          <w:sz w:val="19"/>
          <w:szCs w:val="19"/>
        </w:rPr>
        <w:t xml:space="preserve">P. </w:t>
      </w:r>
      <w:proofErr w:type="spellStart"/>
      <w:r w:rsidRPr="00CC5492">
        <w:rPr>
          <w:rFonts w:ascii="Arial" w:hAnsi="Arial" w:cs="Arial"/>
          <w:i/>
          <w:iCs/>
          <w:color w:val="000000"/>
          <w:sz w:val="19"/>
          <w:szCs w:val="19"/>
        </w:rPr>
        <w:t>malariae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teve uma prevalência maior no passado, embora possa ser subnotificada na Amazônia brasileira e </w:t>
      </w:r>
      <w:proofErr w:type="gramStart"/>
      <w:r w:rsidRPr="00CC5492">
        <w:rPr>
          <w:rFonts w:ascii="Arial" w:hAnsi="Arial" w:cs="Arial"/>
          <w:color w:val="000000"/>
          <w:sz w:val="19"/>
          <w:szCs w:val="19"/>
        </w:rPr>
        <w:t>colombiana.</w:t>
      </w:r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>(</w:t>
      </w:r>
      <w:proofErr w:type="gramEnd"/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>2,3)</w:t>
      </w:r>
    </w:p>
    <w:p w14:paraId="4DBA14DF" w14:textId="77777777" w:rsidR="00CC5492" w:rsidRPr="00CC5492" w:rsidRDefault="00CC5492" w:rsidP="00CC5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50" w:lineRule="atLeast"/>
        <w:ind w:firstLine="454"/>
        <w:jc w:val="both"/>
        <w:textAlignment w:val="center"/>
        <w:rPr>
          <w:rFonts w:ascii="Arial" w:hAnsi="Arial" w:cs="Arial"/>
          <w:color w:val="000000"/>
          <w:sz w:val="19"/>
          <w:szCs w:val="19"/>
        </w:rPr>
      </w:pPr>
      <w:r w:rsidRPr="00CC5492">
        <w:rPr>
          <w:rFonts w:ascii="Arial" w:hAnsi="Arial" w:cs="Arial"/>
          <w:color w:val="000000"/>
          <w:sz w:val="19"/>
          <w:szCs w:val="19"/>
        </w:rPr>
        <w:t xml:space="preserve">A gravidade e a evolução clínica na malária dependem da espécie do plasmódio infectante, intensidade da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parasitemia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, da idade, constituição genética, estado nutricional e sua imunidade específica à malária. A malária por </w:t>
      </w:r>
      <w:r w:rsidRPr="00CC5492">
        <w:rPr>
          <w:rFonts w:ascii="Arial" w:hAnsi="Arial" w:cs="Arial"/>
          <w:i/>
          <w:iCs/>
          <w:color w:val="000000"/>
          <w:sz w:val="19"/>
          <w:szCs w:val="19"/>
        </w:rPr>
        <w:t xml:space="preserve">P. </w:t>
      </w:r>
      <w:proofErr w:type="spellStart"/>
      <w:r w:rsidRPr="00CC5492">
        <w:rPr>
          <w:rFonts w:ascii="Arial" w:hAnsi="Arial" w:cs="Arial"/>
          <w:i/>
          <w:iCs/>
          <w:color w:val="000000"/>
          <w:sz w:val="19"/>
          <w:szCs w:val="19"/>
        </w:rPr>
        <w:t>falciparum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é a que evolui com mais frequência para as formas graves, pois esta espécie pode determinar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parasitemia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elevada (&gt; 2% de hemácias infectadas), pela capacidade de multiplicar-se em hemácias jovens, maduras e senescentes, por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citoaderir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ao endotélio vascular da microcirculação e formar rosetas (eritrócitos infectados aderem a eritrócitos não infectados) em áreas nobres, cérebro, pulmões e rins.</w:t>
      </w:r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 xml:space="preserve">(4,5) </w:t>
      </w:r>
      <w:r w:rsidRPr="00CC5492">
        <w:rPr>
          <w:rFonts w:ascii="Arial" w:hAnsi="Arial" w:cs="Arial"/>
          <w:color w:val="000000"/>
          <w:sz w:val="19"/>
          <w:szCs w:val="19"/>
        </w:rPr>
        <w:t xml:space="preserve">Estes eventos podem levar à malária cerebral, distúrbios respiratórios, anemia, hipoglicemia e raramente na criança à insuficiência renal, edema pulmonar e distúrbios da coagulação. Receptores expressos na superfície do endotélio vascular têm sua expressão aumentada por uma importante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citocina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pró-inflamatória, a TNF-α, determinando o sequestro de eritrócitos parasitados e formação de rosetas na microcirculação de </w:t>
      </w:r>
      <w:r w:rsidRPr="00CC5492">
        <w:rPr>
          <w:rFonts w:ascii="Arial" w:hAnsi="Arial" w:cs="Arial"/>
          <w:color w:val="000000"/>
          <w:sz w:val="19"/>
          <w:szCs w:val="19"/>
        </w:rPr>
        <w:lastRenderedPageBreak/>
        <w:t xml:space="preserve">órgãos vitais, culminando com a obstrução desses pequenos vasos, por exemplo, no cérebro –malária cerebral, evento muito frequente em crianças. Na malária cerebral, observa-se também concentrações aumentadas de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angiopoietina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2 que alteram a permeabilidade da barreira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hematoencefálica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, levando ao extravasamento de proteínas plasmáticas, edema perivascular e injúria neuronal. Os eventos fisiopatológicos que culminam com a malária cerebral não estão associados somente com a obstrução do fluxo vascular na microcirculação, com a ausência de sequestro microvascular em todos os casos fatais e com a rápida resolução do coma e posterior recuperação na maioria dos pacientes, o que faz supor que liberação de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citocinas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induza a uma encefalopatia metabólica. </w:t>
      </w:r>
    </w:p>
    <w:p w14:paraId="76BF918A" w14:textId="77777777" w:rsidR="00CC5492" w:rsidRPr="00CC5492" w:rsidRDefault="00CC5492" w:rsidP="00CC5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50" w:lineRule="atLeast"/>
        <w:ind w:firstLine="454"/>
        <w:jc w:val="both"/>
        <w:textAlignment w:val="center"/>
        <w:rPr>
          <w:rFonts w:ascii="Arial" w:hAnsi="Arial" w:cs="Arial"/>
          <w:color w:val="000000"/>
          <w:sz w:val="19"/>
          <w:szCs w:val="19"/>
          <w:vertAlign w:val="superscript"/>
        </w:rPr>
      </w:pPr>
      <w:r w:rsidRPr="00CC5492">
        <w:rPr>
          <w:rFonts w:ascii="Arial" w:hAnsi="Arial" w:cs="Arial"/>
          <w:color w:val="000000"/>
          <w:sz w:val="19"/>
          <w:szCs w:val="19"/>
        </w:rPr>
        <w:t>A ruptura cíclica de hemácias infectadas com liberação de parasitos, pigmento malárico (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hemozoína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) e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glicosilfostatidilinositol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(toxina malárica) são responsáveis pelas manifestações clínicas na malária, pois ativam células mononucleares em sangue periférico que estimulam a liberação de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citocinas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inflamatórias. Na determinação da gravidade da malária ocorre um desequilíbrio na produção e/ou expressão de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citocinas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inflamatórias e anti-inflamatórias. Desse modo, o TGF-β e a IL-10, que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contrarregulam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a resposta pró-inflamatória, estão em baixas concentrações, como por exemplo na anemia grave dessa doença. Entretanto, outros fatores podem concorrer para essa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fisiopatogenia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, como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diseritropoiese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induzida por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citocinas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e participação de mecanismos autoimunes.  Assim, a anemia da malária, usualmente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normocítica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e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normocrômica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, incide na sua forma grave (Hemoglobina &lt; 5gdL) em dois grupos de maior risco: gestantes e crianças menores de cinco anos. Entretanto, pode ser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microcítica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e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hipocrômica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, pela elevada frequência de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hemoglobinopatias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e deficiência de ferro nas mesmas áreas em que a malária é </w:t>
      </w:r>
      <w:proofErr w:type="gramStart"/>
      <w:r w:rsidRPr="00CC5492">
        <w:rPr>
          <w:rFonts w:ascii="Arial" w:hAnsi="Arial" w:cs="Arial"/>
          <w:color w:val="000000"/>
          <w:sz w:val="19"/>
          <w:szCs w:val="19"/>
        </w:rPr>
        <w:t>endêmica.</w:t>
      </w:r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>(</w:t>
      </w:r>
      <w:proofErr w:type="gramEnd"/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>5)</w:t>
      </w:r>
    </w:p>
    <w:p w14:paraId="2E3F55DE" w14:textId="77777777" w:rsidR="00CC5492" w:rsidRPr="00CC5492" w:rsidRDefault="00CC5492" w:rsidP="00CC5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50" w:lineRule="atLeast"/>
        <w:ind w:firstLine="454"/>
        <w:jc w:val="both"/>
        <w:textAlignment w:val="center"/>
        <w:rPr>
          <w:rFonts w:ascii="Arial" w:hAnsi="Arial" w:cs="Arial"/>
          <w:color w:val="000000"/>
          <w:sz w:val="19"/>
          <w:szCs w:val="19"/>
        </w:rPr>
      </w:pPr>
      <w:r w:rsidRPr="00CC5492">
        <w:rPr>
          <w:rFonts w:ascii="Arial" w:hAnsi="Arial" w:cs="Arial"/>
          <w:color w:val="000000"/>
          <w:sz w:val="19"/>
          <w:szCs w:val="19"/>
        </w:rPr>
        <w:t xml:space="preserve">A fisiopatologia da anemia da malária, ainda não completamente elucidada, é complexa, multifatorial e envolve, além da desregulação da resposta imune, os seguintes mecanismos: a) destruição de eritrócitos parasitados e não parasitados (porém, com produtos do parasito aderidos à superfície) na circulação periférica, com importante participação do baço, sem relação direta com a intensidade da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parasitemia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; b) redução ou alteração na produção de precursores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eritroides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(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diseritropoiese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), mediada por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citocinas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, cuja importância na gênese da anemia parece ser maior na doença de longa duração e menor nos casos agudos. A despeito da intensidade da anemia, no sangue periférico, pode haver baixa contagem de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reticulócitos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, o que indiretamente expressa algum grau de disfunção da medula óssea, observado por um curto </w:t>
      </w:r>
      <w:proofErr w:type="gramStart"/>
      <w:r w:rsidRPr="00CC5492">
        <w:rPr>
          <w:rFonts w:ascii="Arial" w:hAnsi="Arial" w:cs="Arial"/>
          <w:color w:val="000000"/>
          <w:sz w:val="19"/>
          <w:szCs w:val="19"/>
        </w:rPr>
        <w:t>período de tempo</w:t>
      </w:r>
      <w:proofErr w:type="gramEnd"/>
      <w:r w:rsidRPr="00CC5492">
        <w:rPr>
          <w:rFonts w:ascii="Arial" w:hAnsi="Arial" w:cs="Arial"/>
          <w:color w:val="000000"/>
          <w:sz w:val="19"/>
          <w:szCs w:val="19"/>
        </w:rPr>
        <w:t xml:space="preserve">, mesmo após erradicação do parasito pelo uso de antimaláricos e lâminas com gota espessa sucessivamente negativas. Com frequência, crianças com malária pelo </w:t>
      </w:r>
      <w:r w:rsidRPr="00CC5492">
        <w:rPr>
          <w:rFonts w:ascii="Arial" w:hAnsi="Arial" w:cs="Arial"/>
          <w:i/>
          <w:iCs/>
          <w:color w:val="000000"/>
          <w:sz w:val="19"/>
          <w:szCs w:val="19"/>
        </w:rPr>
        <w:t xml:space="preserve">P. </w:t>
      </w:r>
      <w:proofErr w:type="spellStart"/>
      <w:r w:rsidRPr="00CC5492">
        <w:rPr>
          <w:rFonts w:ascii="Arial" w:hAnsi="Arial" w:cs="Arial"/>
          <w:i/>
          <w:iCs/>
          <w:color w:val="000000"/>
          <w:sz w:val="19"/>
          <w:szCs w:val="19"/>
        </w:rPr>
        <w:t>falciparum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apresentam hipoglicemia, por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gliconeogênese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hepática insuficiente, que possui relação direta com níveis elevados de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parasitemia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. Eventos fisiopatológicos responsáveis por malária grave e até óbito também ocorrem na malária por </w:t>
      </w:r>
      <w:r w:rsidRPr="00CC5492">
        <w:rPr>
          <w:rFonts w:ascii="Arial" w:hAnsi="Arial" w:cs="Arial"/>
          <w:i/>
          <w:iCs/>
          <w:color w:val="000000"/>
          <w:sz w:val="19"/>
          <w:szCs w:val="19"/>
        </w:rPr>
        <w:t xml:space="preserve">P. </w:t>
      </w:r>
      <w:proofErr w:type="spellStart"/>
      <w:r w:rsidRPr="00CC5492">
        <w:rPr>
          <w:rFonts w:ascii="Arial" w:hAnsi="Arial" w:cs="Arial"/>
          <w:i/>
          <w:iCs/>
          <w:color w:val="000000"/>
          <w:sz w:val="19"/>
          <w:szCs w:val="19"/>
        </w:rPr>
        <w:t>vivax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.  Semelhante à importância da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citoadesão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nas formas graves de malária pelo </w:t>
      </w:r>
      <w:r w:rsidRPr="00CC5492">
        <w:rPr>
          <w:rFonts w:ascii="Arial" w:hAnsi="Arial" w:cs="Arial"/>
          <w:i/>
          <w:iCs/>
          <w:color w:val="000000"/>
          <w:sz w:val="19"/>
          <w:szCs w:val="19"/>
        </w:rPr>
        <w:t xml:space="preserve">P. </w:t>
      </w:r>
      <w:proofErr w:type="spellStart"/>
      <w:r w:rsidRPr="00CC5492">
        <w:rPr>
          <w:rFonts w:ascii="Arial" w:hAnsi="Arial" w:cs="Arial"/>
          <w:i/>
          <w:iCs/>
          <w:color w:val="000000"/>
          <w:sz w:val="19"/>
          <w:szCs w:val="19"/>
        </w:rPr>
        <w:t>falciparum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, este fenômeno pode também estar presente nas infecções pelo </w:t>
      </w:r>
      <w:r w:rsidRPr="00CC5492">
        <w:rPr>
          <w:rFonts w:ascii="Arial" w:hAnsi="Arial" w:cs="Arial"/>
          <w:i/>
          <w:iCs/>
          <w:color w:val="000000"/>
          <w:sz w:val="19"/>
          <w:szCs w:val="19"/>
        </w:rPr>
        <w:t xml:space="preserve">P. </w:t>
      </w:r>
      <w:proofErr w:type="spellStart"/>
      <w:proofErr w:type="gramStart"/>
      <w:r w:rsidRPr="00CC5492">
        <w:rPr>
          <w:rFonts w:ascii="Arial" w:hAnsi="Arial" w:cs="Arial"/>
          <w:i/>
          <w:iCs/>
          <w:color w:val="000000"/>
          <w:sz w:val="19"/>
          <w:szCs w:val="19"/>
        </w:rPr>
        <w:t>vivax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>.</w:t>
      </w:r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>(</w:t>
      </w:r>
      <w:proofErr w:type="gramEnd"/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>4)</w:t>
      </w:r>
    </w:p>
    <w:p w14:paraId="4ECDED81" w14:textId="77777777" w:rsidR="00CC5492" w:rsidRPr="00CC5492" w:rsidRDefault="00CC5492" w:rsidP="00CC5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50" w:lineRule="atLeast"/>
        <w:ind w:firstLine="454"/>
        <w:jc w:val="both"/>
        <w:textAlignment w:val="center"/>
        <w:rPr>
          <w:rFonts w:ascii="Arial" w:hAnsi="Arial" w:cs="Arial"/>
          <w:color w:val="000000"/>
          <w:sz w:val="19"/>
          <w:szCs w:val="19"/>
        </w:rPr>
      </w:pPr>
      <w:r w:rsidRPr="00CC5492">
        <w:rPr>
          <w:rFonts w:ascii="Arial" w:hAnsi="Arial" w:cs="Arial"/>
          <w:color w:val="000000"/>
          <w:sz w:val="19"/>
          <w:szCs w:val="19"/>
        </w:rPr>
        <w:t xml:space="preserve">As manifestações clínicas na malária são de caráter sistêmico em que a febre constitui o principal sinal ou sintoma, presente em quase todos os pacientes. A febre costuma ser elevada, precedida de calafrio e seguida de sudorese e sem periodicidade (exceto se houver sincronismo na ruptura de eritrócitos parasitados, trazendo como consequência febre a cada 48/48 horas nas infecções por </w:t>
      </w:r>
      <w:r w:rsidRPr="00CC5492">
        <w:rPr>
          <w:rFonts w:ascii="Arial" w:hAnsi="Arial" w:cs="Arial"/>
          <w:i/>
          <w:iCs/>
          <w:color w:val="000000"/>
          <w:sz w:val="19"/>
          <w:szCs w:val="19"/>
        </w:rPr>
        <w:t xml:space="preserve">P. </w:t>
      </w:r>
      <w:proofErr w:type="spellStart"/>
      <w:r w:rsidRPr="00CC5492">
        <w:rPr>
          <w:rFonts w:ascii="Arial" w:hAnsi="Arial" w:cs="Arial"/>
          <w:i/>
          <w:iCs/>
          <w:color w:val="000000"/>
          <w:sz w:val="19"/>
          <w:szCs w:val="19"/>
        </w:rPr>
        <w:t>vivax</w:t>
      </w:r>
      <w:proofErr w:type="spellEnd"/>
      <w:r w:rsidRPr="00CC5492">
        <w:rPr>
          <w:rFonts w:ascii="Arial" w:hAnsi="Arial" w:cs="Arial"/>
          <w:i/>
          <w:iCs/>
          <w:color w:val="000000"/>
          <w:sz w:val="19"/>
          <w:szCs w:val="19"/>
        </w:rPr>
        <w:t xml:space="preserve">, P. </w:t>
      </w:r>
      <w:proofErr w:type="spellStart"/>
      <w:r w:rsidRPr="00CC5492">
        <w:rPr>
          <w:rFonts w:ascii="Arial" w:hAnsi="Arial" w:cs="Arial"/>
          <w:i/>
          <w:iCs/>
          <w:color w:val="000000"/>
          <w:sz w:val="19"/>
          <w:szCs w:val="19"/>
        </w:rPr>
        <w:t>falciparum</w:t>
      </w:r>
      <w:proofErr w:type="spellEnd"/>
      <w:r w:rsidRPr="00CC5492">
        <w:rPr>
          <w:rFonts w:ascii="Arial" w:hAnsi="Arial" w:cs="Arial"/>
          <w:i/>
          <w:iCs/>
          <w:color w:val="000000"/>
          <w:sz w:val="19"/>
          <w:szCs w:val="19"/>
        </w:rPr>
        <w:t xml:space="preserve"> e P. ovale</w:t>
      </w:r>
      <w:r w:rsidRPr="00CC5492">
        <w:rPr>
          <w:rFonts w:ascii="Arial" w:hAnsi="Arial" w:cs="Arial"/>
          <w:color w:val="000000"/>
          <w:sz w:val="19"/>
          <w:szCs w:val="19"/>
        </w:rPr>
        <w:t xml:space="preserve">, ou a cada 72/72horas nas infecções por </w:t>
      </w:r>
      <w:r w:rsidRPr="00CC5492">
        <w:rPr>
          <w:rFonts w:ascii="Arial" w:hAnsi="Arial" w:cs="Arial"/>
          <w:i/>
          <w:iCs/>
          <w:color w:val="000000"/>
          <w:sz w:val="19"/>
          <w:szCs w:val="19"/>
        </w:rPr>
        <w:t xml:space="preserve">P. </w:t>
      </w:r>
      <w:proofErr w:type="spellStart"/>
      <w:r w:rsidRPr="00CC5492">
        <w:rPr>
          <w:rFonts w:ascii="Arial" w:hAnsi="Arial" w:cs="Arial"/>
          <w:i/>
          <w:iCs/>
          <w:color w:val="000000"/>
          <w:sz w:val="19"/>
          <w:szCs w:val="19"/>
        </w:rPr>
        <w:t>malariae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). Quando a febre é acompanhada de cefaleia e calafrio, denomina-se de tríade malárica. Anorexia e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artralgia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podem também ocorrer, ao lado de manifestações respiratórias (tosse e sensação de falta de ar) e gastrointestinais (dor abdominal, náusea, vômitos e </w:t>
      </w:r>
      <w:proofErr w:type="gramStart"/>
      <w:r w:rsidRPr="00CC5492">
        <w:rPr>
          <w:rFonts w:ascii="Arial" w:hAnsi="Arial" w:cs="Arial"/>
          <w:color w:val="000000"/>
          <w:sz w:val="19"/>
          <w:szCs w:val="19"/>
        </w:rPr>
        <w:t>diarreia.</w:t>
      </w:r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>(</w:t>
      </w:r>
      <w:proofErr w:type="gramEnd"/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>5)</w:t>
      </w:r>
    </w:p>
    <w:p w14:paraId="4D1D4F1F" w14:textId="77777777" w:rsidR="00CC5492" w:rsidRPr="00CC5492" w:rsidRDefault="00CC5492" w:rsidP="00CC5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50" w:lineRule="atLeast"/>
        <w:ind w:firstLine="454"/>
        <w:jc w:val="both"/>
        <w:textAlignment w:val="center"/>
        <w:rPr>
          <w:rFonts w:ascii="Arial" w:hAnsi="Arial" w:cs="Arial"/>
          <w:color w:val="000000"/>
          <w:sz w:val="19"/>
          <w:szCs w:val="19"/>
        </w:rPr>
      </w:pPr>
      <w:r w:rsidRPr="00CC5492">
        <w:rPr>
          <w:rFonts w:ascii="Arial" w:hAnsi="Arial" w:cs="Arial"/>
          <w:color w:val="000000"/>
          <w:sz w:val="19"/>
          <w:szCs w:val="19"/>
        </w:rPr>
        <w:t xml:space="preserve">Os perfis de transmissão da doença no Brasil são diferentes e observados em três ambientes distintos; na Amazônia e na Mata Atlântica, ambas com predomínio de casos indígenas, e em outras regiões, com casos importados de viagens recentes a áreas endêmicas de malária no país, ou em outras da América Central e do Sul, países africanos ou asiáticos. Sua transmissão em áreas brasileiras é caracterizada como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hipoendêmica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a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mesoendêmica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, com transmissão instável com flutuações sazonais anuais. Além disso, nos últimos anos, complicações clínicas associadas a casos fatais de infecção por </w:t>
      </w:r>
      <w:r w:rsidRPr="00CC5492">
        <w:rPr>
          <w:rFonts w:ascii="Arial" w:hAnsi="Arial" w:cs="Arial"/>
          <w:i/>
          <w:iCs/>
          <w:color w:val="000000"/>
          <w:sz w:val="19"/>
          <w:szCs w:val="19"/>
        </w:rPr>
        <w:t xml:space="preserve">P. </w:t>
      </w:r>
      <w:proofErr w:type="spellStart"/>
      <w:r w:rsidRPr="00CC5492">
        <w:rPr>
          <w:rFonts w:ascii="Arial" w:hAnsi="Arial" w:cs="Arial"/>
          <w:i/>
          <w:iCs/>
          <w:color w:val="000000"/>
          <w:sz w:val="19"/>
          <w:szCs w:val="19"/>
        </w:rPr>
        <w:t>vivax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têm sido relatadas no Brasil, sendo motivo de preocupação para pesquisadores brasileiros que trabalham com malária. A malária em viagens tem sido motivo de preocupação, pois toda a região extra-amazônica é receptiva à transmissão da doença por migrantes infectados de outras áreas endêmicas e os serviços de vigilância sanitária em alguns municípios carecem de estrutura adequada para enfrentar o </w:t>
      </w:r>
      <w:proofErr w:type="gramStart"/>
      <w:r w:rsidRPr="00CC5492">
        <w:rPr>
          <w:rFonts w:ascii="Arial" w:hAnsi="Arial" w:cs="Arial"/>
          <w:color w:val="000000"/>
          <w:sz w:val="19"/>
          <w:szCs w:val="19"/>
        </w:rPr>
        <w:t>problema.</w:t>
      </w:r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>(</w:t>
      </w:r>
      <w:proofErr w:type="gramEnd"/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>6)</w:t>
      </w:r>
    </w:p>
    <w:p w14:paraId="78712942" w14:textId="77777777" w:rsidR="00CC5492" w:rsidRPr="00CC5492" w:rsidRDefault="00CC5492" w:rsidP="00CC5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50" w:lineRule="atLeast"/>
        <w:ind w:firstLine="454"/>
        <w:jc w:val="both"/>
        <w:textAlignment w:val="center"/>
        <w:rPr>
          <w:rFonts w:ascii="Arial" w:hAnsi="Arial" w:cs="Arial"/>
          <w:color w:val="000000"/>
          <w:sz w:val="19"/>
          <w:szCs w:val="19"/>
        </w:rPr>
      </w:pPr>
      <w:r w:rsidRPr="00CC5492">
        <w:rPr>
          <w:rFonts w:ascii="Arial" w:hAnsi="Arial" w:cs="Arial"/>
          <w:color w:val="000000"/>
          <w:sz w:val="19"/>
          <w:szCs w:val="19"/>
        </w:rPr>
        <w:t xml:space="preserve">A Organização Mundial de Saúde considera o diagnóstico rápido e preciso como o primeiro elemento básico da estratégia de controle da malária, contribuindo para a redução de sua </w:t>
      </w:r>
      <w:r w:rsidRPr="00CC5492">
        <w:rPr>
          <w:rFonts w:ascii="Arial" w:hAnsi="Arial" w:cs="Arial"/>
          <w:color w:val="000000"/>
          <w:sz w:val="19"/>
          <w:szCs w:val="19"/>
        </w:rPr>
        <w:lastRenderedPageBreak/>
        <w:t>morbidade/mortalidade. Parâmetros como alta sensibilidade e especificidade, custo reduzido, execução oportuna e acurácia dos exames laboratoriais são essenciais para estabelecer satisfatoriamente a realização de exames laboratoriais para o diagnóstico do agente responsável pela malária. Em abril de 2017, o Programa Nacional de Controle da Malária do Ministério da Saúde estabeleceu estratégias para diminuir a morbidade/mortalidade da doença, reduzir a gravidade dos casos e interromper a transmissão quando possível e manter a doença eliminada onde esse objetivo foi alcançado. Além disso, essas estratégias visam o diagnóstico de qualidade, por meio do tratamento, controle eficaz do vetor, educação para a promoção da saúde, prevenção e contenção dos surtos como atividades fundamentais para interromper a transmissão e controlar a doença.</w:t>
      </w:r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 xml:space="preserve">(1,7) </w:t>
      </w:r>
      <w:r w:rsidRPr="00CC5492">
        <w:rPr>
          <w:rFonts w:ascii="Arial" w:hAnsi="Arial" w:cs="Arial"/>
          <w:color w:val="000000"/>
          <w:sz w:val="19"/>
          <w:szCs w:val="19"/>
        </w:rPr>
        <w:t xml:space="preserve">Deve-se considerar que o diagnóstico laboratorial da malária é necessário, tendo em vista que as características clínicas da malária são inespecíficas e se sobrepõem às características de outras doenças febris, bem como à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hepatoesplenomegalia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, icterícia e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colúria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; principalmente com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arboviroses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, leptospirose, febre tifoide, septicemias e recentemente a COVID-19. Além disso, esses procedimentos específicos são essenciais, uma vez que o tratamento com antimaláricos é baseado em estágio específico da </w:t>
      </w:r>
      <w:proofErr w:type="gramStart"/>
      <w:r w:rsidRPr="00CC5492">
        <w:rPr>
          <w:rFonts w:ascii="Arial" w:hAnsi="Arial" w:cs="Arial"/>
          <w:color w:val="000000"/>
          <w:sz w:val="19"/>
          <w:szCs w:val="19"/>
        </w:rPr>
        <w:t>espécie.</w:t>
      </w:r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>(</w:t>
      </w:r>
      <w:proofErr w:type="gramEnd"/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>8)</w:t>
      </w:r>
    </w:p>
    <w:p w14:paraId="2848B061" w14:textId="77777777" w:rsidR="00CC5492" w:rsidRPr="00CC5492" w:rsidRDefault="00CC5492" w:rsidP="00CC5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50" w:lineRule="atLeast"/>
        <w:ind w:firstLine="454"/>
        <w:jc w:val="both"/>
        <w:textAlignment w:val="center"/>
        <w:rPr>
          <w:rFonts w:ascii="Arial" w:hAnsi="Arial" w:cs="Arial"/>
          <w:color w:val="000000"/>
          <w:sz w:val="19"/>
          <w:szCs w:val="19"/>
        </w:rPr>
      </w:pPr>
      <w:r w:rsidRPr="00CC5492">
        <w:rPr>
          <w:rFonts w:ascii="Arial" w:hAnsi="Arial" w:cs="Arial"/>
          <w:color w:val="000000"/>
          <w:sz w:val="19"/>
          <w:szCs w:val="19"/>
        </w:rPr>
        <w:t xml:space="preserve">No Brasil, a gota espessa (GE) corada por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Giemsa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, segundo o método de Walker, é o método de escolha (padrão ouro) para o diagnóstico da malária, a fim de identificar a espécie do parasito causador da infecção. A GE é realizada por punção digital sem a necessidade </w:t>
      </w:r>
      <w:proofErr w:type="gramStart"/>
      <w:r w:rsidRPr="00CC5492">
        <w:rPr>
          <w:rFonts w:ascii="Arial" w:hAnsi="Arial" w:cs="Arial"/>
          <w:color w:val="000000"/>
          <w:sz w:val="19"/>
          <w:szCs w:val="19"/>
        </w:rPr>
        <w:t>do</w:t>
      </w:r>
      <w:proofErr w:type="gramEnd"/>
      <w:r w:rsidRPr="00CC5492">
        <w:rPr>
          <w:rFonts w:ascii="Arial" w:hAnsi="Arial" w:cs="Arial"/>
          <w:color w:val="000000"/>
          <w:sz w:val="19"/>
          <w:szCs w:val="19"/>
        </w:rPr>
        <w:t xml:space="preserve"> paciente estar febril no momento da coleta. Possui sensibilidade maior que 80% e especificidade de 100%; é satisfatório no diagnóstico e permite a quantificação da forma parasitária, essencial para o acompanhamento da terapia aplicada, e relativamente barato. O limite de detecção é de 5 a 10 parasitos por microlitro de sangue.</w:t>
      </w:r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 xml:space="preserve"> (1) </w:t>
      </w:r>
      <w:r w:rsidRPr="00CC5492">
        <w:rPr>
          <w:rFonts w:ascii="Arial" w:hAnsi="Arial" w:cs="Arial"/>
          <w:color w:val="000000"/>
          <w:sz w:val="19"/>
          <w:szCs w:val="19"/>
        </w:rPr>
        <w:t xml:space="preserve">Considere, no entanto, que a GE negativa nem sempre exclui a malária, pois alguns antibióticos têm certa ação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antiplasmódica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, reduzindo a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parasitemia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e dificultando a localização do protozoário. Nesse caso, se houver forte suspeita diagnóstica, o teste deve ser repetido. Podemos destacar como desvantagem da GE a limitação do diagnóstico na baixa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parasitemia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e na detecção da infecção mista; além disso, o atraso no processamento pode resultar em alterações na morfologia e prejudicar a detecção segura. Embora a GE seja barata, torna-se um desafio treinar microscopistas, capacitando-os a desempenhar e manter o nível de </w:t>
      </w:r>
      <w:proofErr w:type="gramStart"/>
      <w:r w:rsidRPr="00CC5492">
        <w:rPr>
          <w:rFonts w:ascii="Arial" w:hAnsi="Arial" w:cs="Arial"/>
          <w:color w:val="000000"/>
          <w:sz w:val="19"/>
          <w:szCs w:val="19"/>
        </w:rPr>
        <w:t>competência.</w:t>
      </w:r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>(</w:t>
      </w:r>
      <w:proofErr w:type="gramEnd"/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>3)</w:t>
      </w:r>
    </w:p>
    <w:p w14:paraId="07A34632" w14:textId="77777777" w:rsidR="00CC5492" w:rsidRPr="00CC5492" w:rsidRDefault="00CC5492" w:rsidP="00CC5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50" w:lineRule="atLeast"/>
        <w:ind w:firstLine="454"/>
        <w:jc w:val="both"/>
        <w:textAlignment w:val="center"/>
        <w:rPr>
          <w:rFonts w:ascii="Arial" w:hAnsi="Arial" w:cs="Arial"/>
          <w:color w:val="000000"/>
          <w:sz w:val="19"/>
          <w:szCs w:val="19"/>
        </w:rPr>
      </w:pPr>
      <w:r w:rsidRPr="00CC5492">
        <w:rPr>
          <w:rFonts w:ascii="Arial" w:hAnsi="Arial" w:cs="Arial"/>
          <w:color w:val="000000"/>
          <w:sz w:val="19"/>
          <w:szCs w:val="19"/>
        </w:rPr>
        <w:t xml:space="preserve">Assim como o esfregaço sanguíneo, também permite que tanto o parasito seja visualizado, quanto   a espécie de plasmódio seja detectada mais facilmente, mas tem a desvantagem de a lâmina conter apenas uma camada de sangue em oposição à gota espessa que possui várias camadas, que facilita a localização do parasito e também a identificação da espécie pela experiência do </w:t>
      </w:r>
      <w:proofErr w:type="gramStart"/>
      <w:r w:rsidRPr="00CC5492">
        <w:rPr>
          <w:rFonts w:ascii="Arial" w:hAnsi="Arial" w:cs="Arial"/>
          <w:color w:val="000000"/>
          <w:sz w:val="19"/>
          <w:szCs w:val="19"/>
        </w:rPr>
        <w:t>microscopista.</w:t>
      </w:r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>(</w:t>
      </w:r>
      <w:proofErr w:type="gramEnd"/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>7)</w:t>
      </w:r>
    </w:p>
    <w:p w14:paraId="1DC88E2F" w14:textId="77777777" w:rsidR="00CC5492" w:rsidRPr="00CC5492" w:rsidRDefault="00CC5492" w:rsidP="00CC5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50" w:lineRule="atLeast"/>
        <w:ind w:firstLine="454"/>
        <w:jc w:val="both"/>
        <w:textAlignment w:val="center"/>
        <w:rPr>
          <w:rFonts w:ascii="Arial" w:hAnsi="Arial" w:cs="Arial"/>
          <w:color w:val="000000"/>
          <w:spacing w:val="-1"/>
          <w:sz w:val="19"/>
          <w:szCs w:val="19"/>
        </w:rPr>
      </w:pPr>
      <w:r w:rsidRPr="00CC5492">
        <w:rPr>
          <w:rFonts w:ascii="Arial" w:hAnsi="Arial" w:cs="Arial"/>
          <w:color w:val="000000"/>
          <w:spacing w:val="-1"/>
          <w:sz w:val="19"/>
          <w:szCs w:val="19"/>
        </w:rPr>
        <w:t xml:space="preserve">Assim, foram criados métodos alternativos de diagnóstico, como os testes </w:t>
      </w:r>
      <w:proofErr w:type="spellStart"/>
      <w:r w:rsidRPr="00CC5492">
        <w:rPr>
          <w:rFonts w:ascii="Arial" w:hAnsi="Arial" w:cs="Arial"/>
          <w:color w:val="000000"/>
          <w:spacing w:val="-1"/>
          <w:sz w:val="19"/>
          <w:szCs w:val="19"/>
        </w:rPr>
        <w:t>imunocromatográficos</w:t>
      </w:r>
      <w:proofErr w:type="spellEnd"/>
      <w:r w:rsidRPr="00CC5492">
        <w:rPr>
          <w:rFonts w:ascii="Arial" w:hAnsi="Arial" w:cs="Arial"/>
          <w:color w:val="000000"/>
          <w:spacing w:val="-1"/>
          <w:sz w:val="19"/>
          <w:szCs w:val="19"/>
        </w:rPr>
        <w:t xml:space="preserve"> (também conhecidos como teste de diagnóstico rápido - TDR) usados, especialmente, se o diagnóstico microscópico não estiver disponível ou não for confiável. Esses testes disponíveis comercialmente são baseados em quatro proteínas </w:t>
      </w:r>
      <w:proofErr w:type="spellStart"/>
      <w:r w:rsidRPr="00CC5492">
        <w:rPr>
          <w:rFonts w:ascii="Arial" w:hAnsi="Arial" w:cs="Arial"/>
          <w:color w:val="000000"/>
          <w:spacing w:val="-1"/>
          <w:sz w:val="19"/>
          <w:szCs w:val="19"/>
        </w:rPr>
        <w:t>plasmódicas</w:t>
      </w:r>
      <w:proofErr w:type="spellEnd"/>
      <w:r w:rsidRPr="00CC5492">
        <w:rPr>
          <w:rFonts w:ascii="Arial" w:hAnsi="Arial" w:cs="Arial"/>
          <w:color w:val="000000"/>
          <w:spacing w:val="-1"/>
          <w:sz w:val="19"/>
          <w:szCs w:val="19"/>
        </w:rPr>
        <w:t xml:space="preserve"> diferentes: Histidina (HRP2 – específico para </w:t>
      </w:r>
      <w:r w:rsidRPr="00CC5492">
        <w:rPr>
          <w:rFonts w:ascii="Arial" w:hAnsi="Arial" w:cs="Arial"/>
          <w:i/>
          <w:iCs/>
          <w:color w:val="000000"/>
          <w:spacing w:val="-1"/>
          <w:sz w:val="19"/>
          <w:szCs w:val="19"/>
        </w:rPr>
        <w:t xml:space="preserve">P. </w:t>
      </w:r>
      <w:proofErr w:type="spellStart"/>
      <w:r w:rsidRPr="00CC5492">
        <w:rPr>
          <w:rFonts w:ascii="Arial" w:hAnsi="Arial" w:cs="Arial"/>
          <w:i/>
          <w:iCs/>
          <w:color w:val="000000"/>
          <w:spacing w:val="-1"/>
          <w:sz w:val="19"/>
          <w:szCs w:val="19"/>
        </w:rPr>
        <w:t>falciparum</w:t>
      </w:r>
      <w:proofErr w:type="spellEnd"/>
      <w:r w:rsidRPr="00CC5492">
        <w:rPr>
          <w:rFonts w:ascii="Arial" w:hAnsi="Arial" w:cs="Arial"/>
          <w:color w:val="000000"/>
          <w:spacing w:val="-1"/>
          <w:sz w:val="19"/>
          <w:szCs w:val="19"/>
        </w:rPr>
        <w:t xml:space="preserve">), Lactato </w:t>
      </w:r>
      <w:proofErr w:type="spellStart"/>
      <w:r w:rsidRPr="00CC5492">
        <w:rPr>
          <w:rFonts w:ascii="Arial" w:hAnsi="Arial" w:cs="Arial"/>
          <w:color w:val="000000"/>
          <w:spacing w:val="-1"/>
          <w:sz w:val="19"/>
          <w:szCs w:val="19"/>
        </w:rPr>
        <w:t>desidrogenase</w:t>
      </w:r>
      <w:proofErr w:type="spellEnd"/>
      <w:r w:rsidRPr="00CC5492">
        <w:rPr>
          <w:rFonts w:ascii="Arial" w:hAnsi="Arial" w:cs="Arial"/>
          <w:color w:val="000000"/>
          <w:spacing w:val="-1"/>
          <w:sz w:val="19"/>
          <w:szCs w:val="19"/>
        </w:rPr>
        <w:t xml:space="preserve"> (LDH), </w:t>
      </w:r>
      <w:proofErr w:type="spellStart"/>
      <w:r w:rsidRPr="00CC5492">
        <w:rPr>
          <w:rFonts w:ascii="Arial" w:hAnsi="Arial" w:cs="Arial"/>
          <w:color w:val="000000"/>
          <w:spacing w:val="-1"/>
          <w:sz w:val="19"/>
          <w:szCs w:val="19"/>
        </w:rPr>
        <w:t>Pan-LDH</w:t>
      </w:r>
      <w:proofErr w:type="spellEnd"/>
      <w:r w:rsidRPr="00CC5492">
        <w:rPr>
          <w:rFonts w:ascii="Arial" w:hAnsi="Arial" w:cs="Arial"/>
          <w:color w:val="000000"/>
          <w:spacing w:val="-1"/>
          <w:sz w:val="19"/>
          <w:szCs w:val="19"/>
        </w:rPr>
        <w:t xml:space="preserve"> e </w:t>
      </w:r>
      <w:proofErr w:type="spellStart"/>
      <w:r w:rsidRPr="00CC5492">
        <w:rPr>
          <w:rFonts w:ascii="Arial" w:hAnsi="Arial" w:cs="Arial"/>
          <w:color w:val="000000"/>
          <w:spacing w:val="-1"/>
          <w:sz w:val="19"/>
          <w:szCs w:val="19"/>
        </w:rPr>
        <w:t>aldolase</w:t>
      </w:r>
      <w:proofErr w:type="spellEnd"/>
      <w:r w:rsidRPr="00CC5492">
        <w:rPr>
          <w:rFonts w:ascii="Arial" w:hAnsi="Arial" w:cs="Arial"/>
          <w:color w:val="000000"/>
          <w:spacing w:val="-1"/>
          <w:sz w:val="19"/>
          <w:szCs w:val="19"/>
        </w:rPr>
        <w:t xml:space="preserve">. Os </w:t>
      </w:r>
      <w:proofErr w:type="spellStart"/>
      <w:r w:rsidRPr="00CC5492">
        <w:rPr>
          <w:rFonts w:ascii="Arial" w:hAnsi="Arial" w:cs="Arial"/>
          <w:color w:val="000000"/>
          <w:spacing w:val="-1"/>
          <w:sz w:val="19"/>
          <w:szCs w:val="19"/>
        </w:rPr>
        <w:t>TDRs</w:t>
      </w:r>
      <w:proofErr w:type="spellEnd"/>
      <w:r w:rsidRPr="00CC5492">
        <w:rPr>
          <w:rFonts w:ascii="Arial" w:hAnsi="Arial" w:cs="Arial"/>
          <w:color w:val="000000"/>
          <w:spacing w:val="-1"/>
          <w:sz w:val="19"/>
          <w:szCs w:val="19"/>
        </w:rPr>
        <w:t xml:space="preserve"> não requerem equipamentos e eletricidade, e requerem apenas um treinamento mínimo e, portanto, são indicados em áreas remotas onde não há laboratórios para realização de GE. Nos últimos anos, com o advento das tecnologias moleculares, novos métodos diagnósticos baseados na reação em cadeia da polimerase tradicional (PCR) ou quantitativa em tempo real (</w:t>
      </w:r>
      <w:proofErr w:type="spellStart"/>
      <w:r w:rsidRPr="00CC5492">
        <w:rPr>
          <w:rFonts w:ascii="Arial" w:hAnsi="Arial" w:cs="Arial"/>
          <w:color w:val="000000"/>
          <w:spacing w:val="-1"/>
          <w:sz w:val="19"/>
          <w:szCs w:val="19"/>
        </w:rPr>
        <w:t>qPCR</w:t>
      </w:r>
      <w:proofErr w:type="spellEnd"/>
      <w:r w:rsidRPr="00CC5492">
        <w:rPr>
          <w:rFonts w:ascii="Arial" w:hAnsi="Arial" w:cs="Arial"/>
          <w:color w:val="000000"/>
          <w:spacing w:val="-1"/>
          <w:sz w:val="19"/>
          <w:szCs w:val="19"/>
        </w:rPr>
        <w:t xml:space="preserve">) foram introduzidos, utilizando a subunidade menor do RNA ribossômico e o DNA mitocondrial como alvos. Essas técnicas são reconhecidas como os métodos mais sensíveis e específicos de diagnóstico, detectando </w:t>
      </w:r>
      <w:proofErr w:type="spellStart"/>
      <w:r w:rsidRPr="00CC5492">
        <w:rPr>
          <w:rFonts w:ascii="Arial" w:hAnsi="Arial" w:cs="Arial"/>
          <w:color w:val="000000"/>
          <w:spacing w:val="-1"/>
          <w:sz w:val="19"/>
          <w:szCs w:val="19"/>
        </w:rPr>
        <w:t>parasitemia</w:t>
      </w:r>
      <w:proofErr w:type="spellEnd"/>
      <w:r w:rsidRPr="00CC5492">
        <w:rPr>
          <w:rFonts w:ascii="Arial" w:hAnsi="Arial" w:cs="Arial"/>
          <w:color w:val="000000"/>
          <w:spacing w:val="-1"/>
          <w:sz w:val="19"/>
          <w:szCs w:val="19"/>
        </w:rPr>
        <w:t xml:space="preserve"> </w:t>
      </w:r>
      <w:proofErr w:type="spellStart"/>
      <w:r w:rsidRPr="00CC5492">
        <w:rPr>
          <w:rFonts w:ascii="Arial" w:hAnsi="Arial" w:cs="Arial"/>
          <w:color w:val="000000"/>
          <w:spacing w:val="-1"/>
          <w:sz w:val="19"/>
          <w:szCs w:val="19"/>
        </w:rPr>
        <w:t>submicroscópica</w:t>
      </w:r>
      <w:proofErr w:type="spellEnd"/>
      <w:r w:rsidRPr="00CC5492">
        <w:rPr>
          <w:rFonts w:ascii="Arial" w:hAnsi="Arial" w:cs="Arial"/>
          <w:color w:val="000000"/>
          <w:spacing w:val="-1"/>
          <w:sz w:val="19"/>
          <w:szCs w:val="19"/>
        </w:rPr>
        <w:t xml:space="preserve"> e com redução do volume sanguíneo. Além disso, a PCR deve ser a técnica escolhida fora da área endêmica, pois nessas regiões as apresentações clínicas do paciente sintomático induzem o médico a um diagnóstico de </w:t>
      </w:r>
      <w:proofErr w:type="gramStart"/>
      <w:r w:rsidRPr="00CC5492">
        <w:rPr>
          <w:rFonts w:ascii="Arial" w:hAnsi="Arial" w:cs="Arial"/>
          <w:color w:val="000000"/>
          <w:spacing w:val="-1"/>
          <w:sz w:val="19"/>
          <w:szCs w:val="19"/>
        </w:rPr>
        <w:t>dengue.</w:t>
      </w:r>
      <w:r w:rsidRPr="00CC5492">
        <w:rPr>
          <w:rFonts w:ascii="Arial" w:hAnsi="Arial" w:cs="Arial"/>
          <w:color w:val="000000"/>
          <w:spacing w:val="-1"/>
          <w:sz w:val="19"/>
          <w:szCs w:val="19"/>
          <w:vertAlign w:val="superscript"/>
        </w:rPr>
        <w:t>(</w:t>
      </w:r>
      <w:proofErr w:type="gramEnd"/>
      <w:r w:rsidRPr="00CC5492">
        <w:rPr>
          <w:rFonts w:ascii="Arial" w:hAnsi="Arial" w:cs="Arial"/>
          <w:color w:val="000000"/>
          <w:spacing w:val="-1"/>
          <w:sz w:val="19"/>
          <w:szCs w:val="19"/>
          <w:vertAlign w:val="superscript"/>
        </w:rPr>
        <w:t xml:space="preserve">1,2) </w:t>
      </w:r>
      <w:r w:rsidRPr="00CC5492">
        <w:rPr>
          <w:rFonts w:ascii="Arial" w:hAnsi="Arial" w:cs="Arial"/>
          <w:color w:val="000000"/>
          <w:spacing w:val="-1"/>
          <w:sz w:val="19"/>
          <w:szCs w:val="19"/>
        </w:rPr>
        <w:t xml:space="preserve">As técnicas moleculares ainda apresentam limitações de uso prático, principalmente pelo alto custo envolvido. Nas diferentes etapas do processamento, incluem equipamentos e reagentes caros, além de depender de uma estrutura organizacional para coleta, transporte e processamento das amostras, o que resulta em um longo tempo para a obtenção dos resultados. Um método alternativo ao PCR, ainda em avaliação para o diagnóstico da malária, é o </w:t>
      </w:r>
      <w:proofErr w:type="spellStart"/>
      <w:r w:rsidRPr="00CC5492">
        <w:rPr>
          <w:rFonts w:ascii="Arial" w:hAnsi="Arial" w:cs="Arial"/>
          <w:i/>
          <w:iCs/>
          <w:color w:val="000000"/>
          <w:spacing w:val="-1"/>
          <w:sz w:val="19"/>
          <w:szCs w:val="19"/>
        </w:rPr>
        <w:t>RealLamp</w:t>
      </w:r>
      <w:proofErr w:type="spellEnd"/>
      <w:r w:rsidRPr="00CC5492">
        <w:rPr>
          <w:rFonts w:ascii="Arial" w:hAnsi="Arial" w:cs="Arial"/>
          <w:color w:val="000000"/>
          <w:spacing w:val="-1"/>
          <w:sz w:val="19"/>
          <w:szCs w:val="19"/>
        </w:rPr>
        <w:t>, que se baseia na amplificação isotérmica de ácidos nucléicos. Sua vantagem está na facilidade de uso em campo, pois não requer uma infraestrutura laboratorial sofisticada e utiliza um simples aparelho portátil capaz de realizar a amplificação e a detecção do produto em uma única plataforma.</w:t>
      </w:r>
    </w:p>
    <w:p w14:paraId="32036662" w14:textId="77777777" w:rsidR="00CC5492" w:rsidRPr="00CC5492" w:rsidRDefault="00CC5492" w:rsidP="00CC5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50" w:lineRule="atLeast"/>
        <w:ind w:firstLine="454"/>
        <w:jc w:val="both"/>
        <w:textAlignment w:val="center"/>
        <w:rPr>
          <w:rFonts w:ascii="Arial" w:hAnsi="Arial" w:cs="Arial"/>
          <w:color w:val="000000"/>
          <w:sz w:val="19"/>
          <w:szCs w:val="19"/>
        </w:rPr>
      </w:pPr>
      <w:r w:rsidRPr="00CC5492">
        <w:rPr>
          <w:rFonts w:ascii="Arial" w:hAnsi="Arial" w:cs="Arial"/>
          <w:color w:val="000000"/>
          <w:sz w:val="19"/>
          <w:szCs w:val="19"/>
        </w:rPr>
        <w:lastRenderedPageBreak/>
        <w:t xml:space="preserve">Em dezembro de 2019, um novo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Coronavírus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foi identificado ser responsável por muitos casos de pneumonia em Wuhan, uma cidade na província de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Hubei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, na China. O número de casos aumentou, excessivamente, na China e, em seguida, em todo o mundo causando uma pandemia. O vírus é agora denominado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coronavírus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de síndrome respiratória aguda grave 2 (SARS-CoV-2</w:t>
      </w:r>
      <w:proofErr w:type="gramStart"/>
      <w:r w:rsidRPr="00CC5492">
        <w:rPr>
          <w:rFonts w:ascii="Arial" w:hAnsi="Arial" w:cs="Arial"/>
          <w:color w:val="000000"/>
          <w:sz w:val="19"/>
          <w:szCs w:val="19"/>
        </w:rPr>
        <w:t>).</w:t>
      </w:r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>(</w:t>
      </w:r>
      <w:proofErr w:type="gramEnd"/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 xml:space="preserve">8) </w:t>
      </w:r>
      <w:r w:rsidRPr="00CC5492">
        <w:rPr>
          <w:rFonts w:ascii="Arial" w:hAnsi="Arial" w:cs="Arial"/>
          <w:color w:val="000000"/>
          <w:sz w:val="19"/>
          <w:szCs w:val="19"/>
        </w:rPr>
        <w:t>A doença foi inicialmente relatada à OMS em 31 de dezembro de 2019, e a epidemia de COVID-19 foi declarada uma emergência de saúde global em janeiro de 2020, então uma pandemia global em 11 de março de 2020. Embora a malária e a COVID-19 possam ter uma apresentação semelhante, os sintomas comuns que compartilham incluem, mas não são limitados a: febre, dificuldade em respirar, cansaço e cefaleia de início agudo, que pode levar a um diagnóstico incorreto de malária para COVID-19 e vice-versa, especialmente quando o clínico confia principalmente nos sintomas.</w:t>
      </w:r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 xml:space="preserve">(4) </w:t>
      </w:r>
      <w:r w:rsidRPr="00CC5492">
        <w:rPr>
          <w:rFonts w:ascii="Arial" w:hAnsi="Arial" w:cs="Arial"/>
          <w:color w:val="000000"/>
          <w:sz w:val="19"/>
          <w:szCs w:val="19"/>
        </w:rPr>
        <w:t xml:space="preserve">Sintomas comuns de infecção com SARS-CoV-2 incluem febre, tosse, falta de ar, calafrios, mialgia, dor de cabeça, dor de garganta e nova perda do paladar ou cheiro; o início dos sintomas geralmente ocorre 4 a 5 dias após a infecção, embora possa ser até 14 dias, e nem todas as pessoas infectadas desenvolvem sintomas. Aproximadamente uma semana após o desenvolvimento dos sintomas, alguns dos pacientes experimentam uma piora aguda, com um pronunciado aumento sistêmico de mediadores inflamatórios e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citocinas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. A resposta inflamatória sistêmica severa, referida como uma “Tempestade de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citocinas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”, é caracterizada por um aumento acentuado dos níveis de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interleucinas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e TNF-α, e está associada ao desenvolvimento da síndrome do desconforto respiratório agudo (SDRA). Hipertensão, diabetes, doença cardiovascular, doença respiratória preexistente e obesidade foram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comorbidades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comuns; em uma meta-análise de 1.576 pacientes na China, todas, exceto diabetes e obesidade, foram associadas ao aumento do risco de doença </w:t>
      </w:r>
      <w:proofErr w:type="gramStart"/>
      <w:r w:rsidRPr="00CC5492">
        <w:rPr>
          <w:rFonts w:ascii="Arial" w:hAnsi="Arial" w:cs="Arial"/>
          <w:color w:val="000000"/>
          <w:sz w:val="19"/>
          <w:szCs w:val="19"/>
        </w:rPr>
        <w:t>grave.</w:t>
      </w:r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>(</w:t>
      </w:r>
      <w:proofErr w:type="gramEnd"/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>8.9)</w:t>
      </w:r>
    </w:p>
    <w:p w14:paraId="477B981D" w14:textId="77777777" w:rsidR="00CC5492" w:rsidRPr="00CC5492" w:rsidRDefault="00CC5492" w:rsidP="00CC5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50" w:lineRule="atLeast"/>
        <w:ind w:firstLine="454"/>
        <w:jc w:val="both"/>
        <w:textAlignment w:val="center"/>
        <w:rPr>
          <w:rFonts w:ascii="Arial" w:hAnsi="Arial" w:cs="Arial"/>
          <w:color w:val="000000"/>
          <w:sz w:val="19"/>
          <w:szCs w:val="19"/>
        </w:rPr>
      </w:pPr>
      <w:r w:rsidRPr="00CC5492">
        <w:rPr>
          <w:rFonts w:ascii="Arial" w:hAnsi="Arial" w:cs="Arial"/>
          <w:color w:val="000000"/>
          <w:sz w:val="19"/>
          <w:szCs w:val="19"/>
        </w:rPr>
        <w:t xml:space="preserve">Das cinco espécies de parasitos que causam malária em humanos, o </w:t>
      </w:r>
      <w:r w:rsidRPr="00CC5492">
        <w:rPr>
          <w:rFonts w:ascii="Arial" w:hAnsi="Arial" w:cs="Arial"/>
          <w:i/>
          <w:iCs/>
          <w:color w:val="000000"/>
          <w:sz w:val="19"/>
          <w:szCs w:val="19"/>
        </w:rPr>
        <w:t xml:space="preserve">P. </w:t>
      </w:r>
      <w:proofErr w:type="spellStart"/>
      <w:r w:rsidRPr="00CC5492">
        <w:rPr>
          <w:rFonts w:ascii="Arial" w:hAnsi="Arial" w:cs="Arial"/>
          <w:i/>
          <w:iCs/>
          <w:color w:val="000000"/>
          <w:sz w:val="19"/>
          <w:szCs w:val="19"/>
        </w:rPr>
        <w:t>falciparum</w:t>
      </w:r>
      <w:proofErr w:type="spellEnd"/>
      <w:r w:rsidRPr="00CC5492">
        <w:rPr>
          <w:rFonts w:ascii="Arial" w:hAnsi="Arial" w:cs="Arial"/>
          <w:i/>
          <w:iCs/>
          <w:color w:val="000000"/>
          <w:sz w:val="19"/>
          <w:szCs w:val="19"/>
        </w:rPr>
        <w:t xml:space="preserve"> </w:t>
      </w:r>
      <w:r w:rsidRPr="00CC5492">
        <w:rPr>
          <w:rFonts w:ascii="Arial" w:hAnsi="Arial" w:cs="Arial"/>
          <w:color w:val="000000"/>
          <w:sz w:val="19"/>
          <w:szCs w:val="19"/>
        </w:rPr>
        <w:t xml:space="preserve">é responsável pela maior parte da morbidade e mortalidade, seguida por </w:t>
      </w:r>
      <w:proofErr w:type="spellStart"/>
      <w:proofErr w:type="gramStart"/>
      <w:r w:rsidRPr="00CC5492">
        <w:rPr>
          <w:rFonts w:ascii="Arial" w:hAnsi="Arial" w:cs="Arial"/>
          <w:i/>
          <w:iCs/>
          <w:color w:val="000000"/>
          <w:sz w:val="19"/>
          <w:szCs w:val="19"/>
        </w:rPr>
        <w:t>P.vivax</w:t>
      </w:r>
      <w:proofErr w:type="spellEnd"/>
      <w:proofErr w:type="gramEnd"/>
      <w:r w:rsidRPr="00CC5492">
        <w:rPr>
          <w:rFonts w:ascii="Arial" w:hAnsi="Arial" w:cs="Arial"/>
          <w:color w:val="000000"/>
          <w:sz w:val="19"/>
          <w:szCs w:val="19"/>
        </w:rPr>
        <w:t xml:space="preserve">. Os eritrócitos infectados se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lisam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e liberam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merozoítos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na circulação, causando ativação do sistema imunológico e levando à liberação de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citocinas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pró-inflamatórias, incluindo TNF-α, INF-g, IL-6 e IL-</w:t>
      </w:r>
      <w:proofErr w:type="gramStart"/>
      <w:r w:rsidRPr="00CC5492">
        <w:rPr>
          <w:rFonts w:ascii="Arial" w:hAnsi="Arial" w:cs="Arial"/>
          <w:color w:val="000000"/>
          <w:sz w:val="19"/>
          <w:szCs w:val="19"/>
        </w:rPr>
        <w:t>12.</w:t>
      </w:r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>(</w:t>
      </w:r>
      <w:proofErr w:type="gramEnd"/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 xml:space="preserve">5) </w:t>
      </w:r>
      <w:r w:rsidRPr="00CC5492">
        <w:rPr>
          <w:rFonts w:ascii="Arial" w:hAnsi="Arial" w:cs="Arial"/>
          <w:color w:val="000000"/>
          <w:sz w:val="19"/>
          <w:szCs w:val="19"/>
        </w:rPr>
        <w:t xml:space="preserve">Esta cascata de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citocinas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leva a sintomas de malária, e tal como acontece com a COVID-19, a resposta imune celular na malária deve ser cuidadosamente regulada para alcançar uma resposta protetora sem causar impacto adverso no hospedeiro. As manifestações graves da malária são frequentemente devidas a respostas pró-inflamatórias excessivas. O mesmo parece ser verdadeiro em pelo menos alguns casos de COVID-19, sugerindo que uma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coinfecção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que também leva a respostas pró-inflamatórias excessivas pode resultar em manifestações mais graves e prognóstico </w:t>
      </w:r>
      <w:proofErr w:type="gramStart"/>
      <w:r w:rsidRPr="00CC5492">
        <w:rPr>
          <w:rFonts w:ascii="Arial" w:hAnsi="Arial" w:cs="Arial"/>
          <w:color w:val="000000"/>
          <w:sz w:val="19"/>
          <w:szCs w:val="19"/>
        </w:rPr>
        <w:t>desfavorável.</w:t>
      </w:r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>(</w:t>
      </w:r>
      <w:proofErr w:type="gramEnd"/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>4)</w:t>
      </w:r>
    </w:p>
    <w:p w14:paraId="6B877A8E" w14:textId="77777777" w:rsidR="00CC5492" w:rsidRPr="00CC5492" w:rsidRDefault="00CC5492" w:rsidP="00CC5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50" w:lineRule="atLeast"/>
        <w:ind w:firstLine="454"/>
        <w:jc w:val="both"/>
        <w:textAlignment w:val="center"/>
        <w:rPr>
          <w:rFonts w:ascii="Arial" w:hAnsi="Arial" w:cs="Arial"/>
          <w:color w:val="000000"/>
          <w:sz w:val="19"/>
          <w:szCs w:val="19"/>
        </w:rPr>
      </w:pPr>
      <w:r w:rsidRPr="00CC5492">
        <w:rPr>
          <w:rFonts w:ascii="Arial" w:hAnsi="Arial" w:cs="Arial"/>
          <w:color w:val="000000"/>
          <w:sz w:val="19"/>
          <w:szCs w:val="19"/>
        </w:rPr>
        <w:t xml:space="preserve">A imunossupressão induzida por malária também foi observada em muitas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coinfecções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, inibindo significativamente respostas a outra infecção. No entanto, a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imunomodulação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induzida pela malária tem sido apresentada como protetora contra as manifestações graves de alguns vírus respiratórios. No Quênia, crianças hospitalizadas diagnosticadas com </w:t>
      </w:r>
      <w:r w:rsidRPr="00CC5492">
        <w:rPr>
          <w:rFonts w:ascii="Arial" w:hAnsi="Arial" w:cs="Arial"/>
          <w:i/>
          <w:iCs/>
          <w:color w:val="000000"/>
          <w:sz w:val="19"/>
          <w:szCs w:val="19"/>
        </w:rPr>
        <w:t>influenza</w:t>
      </w:r>
      <w:r w:rsidRPr="00CC5492">
        <w:rPr>
          <w:rFonts w:ascii="Arial" w:hAnsi="Arial" w:cs="Arial"/>
          <w:color w:val="000000"/>
          <w:sz w:val="19"/>
          <w:szCs w:val="19"/>
        </w:rPr>
        <w:t xml:space="preserve"> e malária eram menos propensas a sofrer problemas respiratórios do que aqueles com </w:t>
      </w:r>
      <w:r w:rsidRPr="00CC5492">
        <w:rPr>
          <w:rFonts w:ascii="Arial" w:hAnsi="Arial" w:cs="Arial"/>
          <w:i/>
          <w:iCs/>
          <w:color w:val="000000"/>
          <w:sz w:val="19"/>
          <w:szCs w:val="19"/>
        </w:rPr>
        <w:t>influenza</w:t>
      </w:r>
      <w:r w:rsidRPr="00CC5492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 w:rsidRPr="00CC5492">
        <w:rPr>
          <w:rFonts w:ascii="Arial" w:hAnsi="Arial" w:cs="Arial"/>
          <w:color w:val="000000"/>
          <w:sz w:val="19"/>
          <w:szCs w:val="19"/>
        </w:rPr>
        <w:t>isoladamente.</w:t>
      </w:r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>(</w:t>
      </w:r>
      <w:proofErr w:type="gramEnd"/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>1,5)</w:t>
      </w:r>
      <w:r w:rsidRPr="00CC5492">
        <w:rPr>
          <w:rFonts w:ascii="Arial" w:hAnsi="Arial" w:cs="Arial"/>
          <w:color w:val="000000"/>
          <w:sz w:val="19"/>
          <w:szCs w:val="19"/>
        </w:rPr>
        <w:t xml:space="preserve"> No entanto, em um modelo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murino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, o controle viral também foi prejudicado, levando a aumento da disseminação viral. Dinâmicas semelhantes podem ocorrer durante a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coinfecção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Plasmódio e SARS-CoV-2; induzida por malária, a imunossupressão pode levar a manifestações mais leves de COVID-19, mas simultaneamente diminui o controle viral, potencialmente aumentando ou sustentando as cargas virais, o que poderia aumentar o potencial para transmissão viral.</w:t>
      </w:r>
    </w:p>
    <w:p w14:paraId="47759A9D" w14:textId="77777777" w:rsidR="00CC5492" w:rsidRPr="00CC5492" w:rsidRDefault="00CC5492" w:rsidP="00CC5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50" w:lineRule="atLeast"/>
        <w:ind w:firstLine="454"/>
        <w:jc w:val="both"/>
        <w:textAlignment w:val="center"/>
        <w:rPr>
          <w:rFonts w:ascii="Arial" w:hAnsi="Arial" w:cs="Arial"/>
          <w:color w:val="000000"/>
          <w:sz w:val="19"/>
          <w:szCs w:val="19"/>
        </w:rPr>
      </w:pPr>
      <w:r w:rsidRPr="00CC5492">
        <w:rPr>
          <w:rFonts w:ascii="Arial" w:hAnsi="Arial" w:cs="Arial"/>
          <w:color w:val="000000"/>
          <w:sz w:val="19"/>
          <w:szCs w:val="19"/>
        </w:rPr>
        <w:t xml:space="preserve">Desconforto respiratório, observado em até 25% dos adultos e 40% das crianças com malária </w:t>
      </w:r>
      <w:r w:rsidRPr="00CC5492">
        <w:rPr>
          <w:rFonts w:ascii="Arial" w:hAnsi="Arial" w:cs="Arial"/>
          <w:i/>
          <w:iCs/>
          <w:color w:val="000000"/>
          <w:sz w:val="19"/>
          <w:szCs w:val="19"/>
        </w:rPr>
        <w:t xml:space="preserve">P. </w:t>
      </w:r>
      <w:proofErr w:type="spellStart"/>
      <w:r w:rsidRPr="00CC5492">
        <w:rPr>
          <w:rFonts w:ascii="Arial" w:hAnsi="Arial" w:cs="Arial"/>
          <w:i/>
          <w:iCs/>
          <w:color w:val="000000"/>
          <w:sz w:val="19"/>
          <w:szCs w:val="19"/>
        </w:rPr>
        <w:t>falciparum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grave, tem várias causas, incluindo anemia grave, acidose metabólica,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citoaderência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de eritrócitos infectados nos vasos pulmonares e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coinfecções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com patógenos causadores de </w:t>
      </w:r>
      <w:proofErr w:type="gramStart"/>
      <w:r w:rsidRPr="00CC5492">
        <w:rPr>
          <w:rFonts w:ascii="Arial" w:hAnsi="Arial" w:cs="Arial"/>
          <w:color w:val="000000"/>
          <w:sz w:val="19"/>
          <w:szCs w:val="19"/>
        </w:rPr>
        <w:t>pneumonia.</w:t>
      </w:r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>(</w:t>
      </w:r>
      <w:proofErr w:type="gramEnd"/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 xml:space="preserve">1) </w:t>
      </w:r>
      <w:r w:rsidRPr="00CC5492">
        <w:rPr>
          <w:rFonts w:ascii="Arial" w:hAnsi="Arial" w:cs="Arial"/>
          <w:color w:val="000000"/>
          <w:sz w:val="19"/>
          <w:szCs w:val="19"/>
        </w:rPr>
        <w:t xml:space="preserve">O espectro clínico varia de sintomas respiratórios superiores leves a lesão pulmonar aguda e síndrome respiratória aguda (SARS) fatal. A síndrome do desconforto respiratório agudo é rara em crianças pequenas com malária, mas ocorre em 5% a 25% dos adultos e 29% das mulheres grávidas com infecções graves por </w:t>
      </w:r>
      <w:r w:rsidRPr="00CC5492">
        <w:rPr>
          <w:rFonts w:ascii="Arial" w:hAnsi="Arial" w:cs="Arial"/>
          <w:i/>
          <w:iCs/>
          <w:color w:val="000000"/>
          <w:sz w:val="19"/>
          <w:szCs w:val="19"/>
        </w:rPr>
        <w:t xml:space="preserve">P. </w:t>
      </w:r>
      <w:proofErr w:type="spellStart"/>
      <w:r w:rsidRPr="00CC5492">
        <w:rPr>
          <w:rFonts w:ascii="Arial" w:hAnsi="Arial" w:cs="Arial"/>
          <w:i/>
          <w:iCs/>
          <w:color w:val="000000"/>
          <w:sz w:val="19"/>
          <w:szCs w:val="19"/>
        </w:rPr>
        <w:t>falcipa</w:t>
      </w:r>
      <w:r w:rsidRPr="00CC5492">
        <w:rPr>
          <w:rFonts w:ascii="Arial" w:hAnsi="Arial" w:cs="Arial"/>
          <w:color w:val="000000"/>
          <w:sz w:val="19"/>
          <w:szCs w:val="19"/>
        </w:rPr>
        <w:t>rum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, e menos comumente com malária </w:t>
      </w:r>
      <w:r w:rsidRPr="00CC5492">
        <w:rPr>
          <w:rFonts w:ascii="Arial" w:hAnsi="Arial" w:cs="Arial"/>
          <w:i/>
          <w:iCs/>
          <w:color w:val="000000"/>
          <w:sz w:val="19"/>
          <w:szCs w:val="19"/>
        </w:rPr>
        <w:t xml:space="preserve">P. </w:t>
      </w:r>
      <w:proofErr w:type="spellStart"/>
      <w:r w:rsidRPr="00CC5492">
        <w:rPr>
          <w:rFonts w:ascii="Arial" w:hAnsi="Arial" w:cs="Arial"/>
          <w:i/>
          <w:iCs/>
          <w:color w:val="000000"/>
          <w:sz w:val="19"/>
          <w:szCs w:val="19"/>
        </w:rPr>
        <w:t>vivax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. Na malária e COVID-19, a SARS está ligada a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citocinas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inflamatórias mediadas pelo aumento da permeabilidade capilar ou dano endotelial, que resulta em grande dano alveolar. Dada esta situação, as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coinfecções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por </w:t>
      </w:r>
      <w:proofErr w:type="spellStart"/>
      <w:r w:rsidRPr="00CC5492">
        <w:rPr>
          <w:rFonts w:ascii="Arial" w:hAnsi="Arial" w:cs="Arial"/>
          <w:i/>
          <w:iCs/>
          <w:color w:val="000000"/>
          <w:sz w:val="19"/>
          <w:szCs w:val="19"/>
        </w:rPr>
        <w:t>Plasmodium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spp. e SARS-CoV-2 podem resultar em deterioração particularmente rápida, com um mau prognóstico. No dano alveolar mediado por inflamação e induzido por malária, a SARS progride mesmo após o tratamento e a eliminação do parasito. Indivíduos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coinfectados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podem ser propensos a COVID-19 grave, porque tanto a malária quanto a COVID-19 podem levar a manifestações clínicas semelhantes, incluindo febre e sintomas respiratórios, um ou o outro pode ser esquecido em um diagnóstico diferencial de dificuldade respiratória, levando a um aumento do número </w:t>
      </w:r>
      <w:r w:rsidRPr="00CC5492">
        <w:rPr>
          <w:rFonts w:ascii="Arial" w:hAnsi="Arial" w:cs="Arial"/>
          <w:color w:val="000000"/>
          <w:sz w:val="19"/>
          <w:szCs w:val="19"/>
        </w:rPr>
        <w:lastRenderedPageBreak/>
        <w:t xml:space="preserve">de mortes. À medida que a transmissão do SARS-CoV-2 aumenta, particularmente na África e na Índia, os médicos devem ter isso em mente. Além disso, documentar a frequência, a distribuição e os resultados destas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coinfecções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é de suma </w:t>
      </w:r>
      <w:proofErr w:type="gramStart"/>
      <w:r w:rsidRPr="00CC5492">
        <w:rPr>
          <w:rFonts w:ascii="Arial" w:hAnsi="Arial" w:cs="Arial"/>
          <w:color w:val="000000"/>
          <w:sz w:val="19"/>
          <w:szCs w:val="19"/>
        </w:rPr>
        <w:t>importância.</w:t>
      </w:r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>(</w:t>
      </w:r>
      <w:proofErr w:type="gramEnd"/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>8-10)</w:t>
      </w:r>
    </w:p>
    <w:p w14:paraId="05B94AC9" w14:textId="77777777" w:rsidR="00CC5492" w:rsidRPr="00CC5492" w:rsidRDefault="00CC5492" w:rsidP="00CC5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50" w:lineRule="atLeast"/>
        <w:ind w:firstLine="454"/>
        <w:jc w:val="both"/>
        <w:textAlignment w:val="center"/>
        <w:rPr>
          <w:rFonts w:ascii="Arial" w:hAnsi="Arial" w:cs="Arial"/>
          <w:color w:val="000000"/>
          <w:sz w:val="19"/>
          <w:szCs w:val="19"/>
        </w:rPr>
      </w:pPr>
      <w:r w:rsidRPr="00CC5492">
        <w:rPr>
          <w:rFonts w:ascii="Arial" w:hAnsi="Arial" w:cs="Arial"/>
          <w:color w:val="000000"/>
          <w:sz w:val="19"/>
          <w:szCs w:val="19"/>
        </w:rPr>
        <w:t>Considerando que as sequelas hematológicas de COVID-19 ainda estão sendo elucidadas, uma meta-análise que descreve 1.210 pacientes COVID-19 de quatro estudos descobriu que os valores de hemoglobina eram 0,71 g/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dL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(95% CI: 0,59-0,83 g/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dL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) menor em indivíduos com doença grave </w:t>
      </w:r>
      <w:r w:rsidRPr="00CC5492">
        <w:rPr>
          <w:rFonts w:ascii="Arial" w:hAnsi="Arial" w:cs="Arial"/>
          <w:i/>
          <w:iCs/>
          <w:color w:val="000000"/>
          <w:sz w:val="19"/>
          <w:szCs w:val="19"/>
        </w:rPr>
        <w:t>versus</w:t>
      </w:r>
      <w:r w:rsidRPr="00CC5492">
        <w:rPr>
          <w:rFonts w:ascii="Arial" w:hAnsi="Arial" w:cs="Arial"/>
          <w:color w:val="000000"/>
          <w:sz w:val="19"/>
          <w:szCs w:val="19"/>
        </w:rPr>
        <w:t xml:space="preserve"> doença mais </w:t>
      </w:r>
      <w:proofErr w:type="gramStart"/>
      <w:r w:rsidRPr="00CC5492">
        <w:rPr>
          <w:rFonts w:ascii="Arial" w:hAnsi="Arial" w:cs="Arial"/>
          <w:color w:val="000000"/>
          <w:sz w:val="19"/>
          <w:szCs w:val="19"/>
        </w:rPr>
        <w:t>branda.</w:t>
      </w:r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>(</w:t>
      </w:r>
      <w:proofErr w:type="gramEnd"/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 xml:space="preserve">5) </w:t>
      </w:r>
      <w:r w:rsidRPr="00CC5492">
        <w:rPr>
          <w:rFonts w:ascii="Arial" w:hAnsi="Arial" w:cs="Arial"/>
          <w:color w:val="000000"/>
          <w:sz w:val="19"/>
          <w:szCs w:val="19"/>
        </w:rPr>
        <w:t>Se hemoglobina mais baixa é um fator de risco ou uma sequela da COVID-19 grave é desconhecido. No entanto, devido às reservas limitadas, mesmo pequenas perturbações na capacidade de transporte de oxigênio em indivíduos com a anemia malárica podem resultar em oxigenação tecidual insuficiente em meio a insuficiência respiratória induzida por COVID-</w:t>
      </w:r>
      <w:proofErr w:type="gramStart"/>
      <w:r w:rsidRPr="00CC5492">
        <w:rPr>
          <w:rFonts w:ascii="Arial" w:hAnsi="Arial" w:cs="Arial"/>
          <w:color w:val="000000"/>
          <w:sz w:val="19"/>
          <w:szCs w:val="19"/>
        </w:rPr>
        <w:t>19.</w:t>
      </w:r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>(</w:t>
      </w:r>
      <w:proofErr w:type="gramEnd"/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>4)</w:t>
      </w:r>
    </w:p>
    <w:p w14:paraId="3076BB04" w14:textId="77777777" w:rsidR="00CC5492" w:rsidRPr="00CC5492" w:rsidRDefault="00CC5492" w:rsidP="00CC5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50" w:lineRule="atLeast"/>
        <w:ind w:firstLine="454"/>
        <w:jc w:val="both"/>
        <w:textAlignment w:val="center"/>
        <w:rPr>
          <w:rFonts w:ascii="Arial" w:hAnsi="Arial" w:cs="Arial"/>
          <w:color w:val="000000"/>
          <w:sz w:val="19"/>
          <w:szCs w:val="19"/>
        </w:rPr>
      </w:pPr>
      <w:r w:rsidRPr="00CC5492">
        <w:rPr>
          <w:rFonts w:ascii="Arial" w:hAnsi="Arial" w:cs="Arial"/>
          <w:color w:val="000000"/>
          <w:sz w:val="19"/>
          <w:szCs w:val="19"/>
        </w:rPr>
        <w:t>Embora o SARS-CoV-2 tenha se espalhado globalmente, nossa compreensão da epidemiologia e do curso clínico da COVID-19 em países com cargas substanciais de malária e doenças tropicais negligenciadas (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DTNs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>) está apenas começando. Provavelmente, porque a transmissão começou mais tarde nesses países endêmicos de malária e porque os testes para SARS-CoV-2 são limitados na maioria dos países de baixa ou média renda (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PBMRs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). Se uma mudança para uma resposta Th2 é mais comum, e se essa mudança fornece alguma proteção contra doenças graves, enquanto reduz a imunidade a longo prazo ou aumenta o período de eliminação viral, a epidemiologia de COVID-19 em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PBMRs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pode ser substancialmente diferente do que foi visto em outros </w:t>
      </w:r>
      <w:proofErr w:type="gramStart"/>
      <w:r w:rsidRPr="00CC5492">
        <w:rPr>
          <w:rFonts w:ascii="Arial" w:hAnsi="Arial" w:cs="Arial"/>
          <w:color w:val="000000"/>
          <w:sz w:val="19"/>
          <w:szCs w:val="19"/>
        </w:rPr>
        <w:t>lugares.</w:t>
      </w:r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>(</w:t>
      </w:r>
      <w:proofErr w:type="gramEnd"/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 xml:space="preserve">2,4) </w:t>
      </w:r>
      <w:r w:rsidRPr="00CC5492">
        <w:rPr>
          <w:rFonts w:ascii="Arial" w:hAnsi="Arial" w:cs="Arial"/>
          <w:color w:val="000000"/>
          <w:sz w:val="19"/>
          <w:szCs w:val="19"/>
        </w:rPr>
        <w:t xml:space="preserve">Plataformas de vigilância em desenvolvimento rápido para monitorar sinais de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coinfecção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SARS-CoV-2 com malária ou outras doenças tropicais negligenciadas será de extrema necessidade. Esforços para caracterizar casos de COVID-19 em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PBMRs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, como a adição do teste de SARS-CoV-2 e a vigilância epidemiológica, poderiam ser expandidos, com base na localidade, prevalência de malária e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DTNs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, para incluir testes de malária. Esses testes adicionais podem ajudar a determinar as taxas de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coinfecção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e comparar a gravidade dos resultados por </w:t>
      </w:r>
      <w:r w:rsidRPr="00CC5492">
        <w:rPr>
          <w:rFonts w:ascii="Arial" w:hAnsi="Arial" w:cs="Arial"/>
          <w:i/>
          <w:iCs/>
          <w:color w:val="000000"/>
          <w:sz w:val="19"/>
          <w:szCs w:val="19"/>
        </w:rPr>
        <w:t>status</w:t>
      </w:r>
      <w:r w:rsidRPr="00CC5492">
        <w:rPr>
          <w:rFonts w:ascii="Arial" w:hAnsi="Arial" w:cs="Arial"/>
          <w:color w:val="000000"/>
          <w:sz w:val="19"/>
          <w:szCs w:val="19"/>
        </w:rPr>
        <w:t xml:space="preserve"> de infecção. Esforços adicionais para descrever mais cuidadosamente os impactos da clínica de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coinfecções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devem continuar a ser investigados e, assim, entender o impacto potencial do COVID-19 nos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PBMRs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e mitigar os piores </w:t>
      </w:r>
      <w:proofErr w:type="gramStart"/>
      <w:r w:rsidRPr="00CC5492">
        <w:rPr>
          <w:rFonts w:ascii="Arial" w:hAnsi="Arial" w:cs="Arial"/>
          <w:color w:val="000000"/>
          <w:sz w:val="19"/>
          <w:szCs w:val="19"/>
        </w:rPr>
        <w:t>resultados.</w:t>
      </w:r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>(</w:t>
      </w:r>
      <w:proofErr w:type="gramEnd"/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>8,10)</w:t>
      </w:r>
    </w:p>
    <w:p w14:paraId="55F1528E" w14:textId="77777777" w:rsidR="00CC5492" w:rsidRPr="00CC5492" w:rsidRDefault="00CC5492" w:rsidP="00CC5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50" w:lineRule="atLeast"/>
        <w:ind w:firstLine="454"/>
        <w:jc w:val="both"/>
        <w:textAlignment w:val="center"/>
        <w:rPr>
          <w:rFonts w:ascii="Arial" w:hAnsi="Arial" w:cs="Arial"/>
          <w:color w:val="000000"/>
          <w:sz w:val="19"/>
          <w:szCs w:val="19"/>
        </w:rPr>
      </w:pPr>
      <w:r w:rsidRPr="00CC5492">
        <w:rPr>
          <w:rFonts w:ascii="Arial" w:hAnsi="Arial" w:cs="Arial"/>
          <w:color w:val="000000"/>
          <w:sz w:val="19"/>
          <w:szCs w:val="19"/>
        </w:rPr>
        <w:t>Estudos revelaram que o SARS-CoV-2 usa o receptor da enzima conversora de angiotensina 2 (ACE2) para entrar nas células hospedeiras. O ANG II é o substrato para ACE2 e quando acumulado pode então aumentar a agregação de neutrófilos e intensificar permeabilidade vascular, ocorrendo uma exacerbação do edema pulmonar. Por outro lado, estudos demonstram que algumas mutações nesse gene podem oferecer proteção na malária e também na COVID-</w:t>
      </w:r>
      <w:proofErr w:type="gramStart"/>
      <w:r w:rsidRPr="00CC5492">
        <w:rPr>
          <w:rFonts w:ascii="Arial" w:hAnsi="Arial" w:cs="Arial"/>
          <w:color w:val="000000"/>
          <w:sz w:val="19"/>
          <w:szCs w:val="19"/>
        </w:rPr>
        <w:t>19.</w:t>
      </w:r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>(</w:t>
      </w:r>
      <w:proofErr w:type="gramEnd"/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>4,10)</w:t>
      </w:r>
    </w:p>
    <w:p w14:paraId="25F90414" w14:textId="77777777" w:rsidR="00CC5492" w:rsidRPr="00CC5492" w:rsidRDefault="00CC5492" w:rsidP="00CC5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50" w:lineRule="atLeast"/>
        <w:ind w:firstLine="454"/>
        <w:jc w:val="both"/>
        <w:textAlignment w:val="center"/>
        <w:rPr>
          <w:rFonts w:ascii="Arial" w:hAnsi="Arial" w:cs="Arial"/>
          <w:color w:val="000000"/>
          <w:sz w:val="19"/>
          <w:szCs w:val="19"/>
        </w:rPr>
      </w:pPr>
      <w:r w:rsidRPr="00CC5492">
        <w:rPr>
          <w:rFonts w:ascii="Arial" w:hAnsi="Arial" w:cs="Arial"/>
          <w:color w:val="000000"/>
          <w:sz w:val="19"/>
          <w:szCs w:val="19"/>
        </w:rPr>
        <w:t xml:space="preserve">A cloroquina (CQ) e a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hidroxicloroquina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(HCQ) são 4-aminoquinolinas com rápida atividade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esquizonticida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>. Não tem ação contra as formas hepáticas do parasito (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hipnozoítos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) de malária pelo </w:t>
      </w:r>
      <w:r w:rsidRPr="00CC5492">
        <w:rPr>
          <w:rFonts w:ascii="Arial" w:hAnsi="Arial" w:cs="Arial"/>
          <w:i/>
          <w:iCs/>
          <w:color w:val="000000"/>
          <w:sz w:val="19"/>
          <w:szCs w:val="19"/>
        </w:rPr>
        <w:t xml:space="preserve">P. </w:t>
      </w:r>
      <w:proofErr w:type="spellStart"/>
      <w:r w:rsidRPr="00CC5492">
        <w:rPr>
          <w:rFonts w:ascii="Arial" w:hAnsi="Arial" w:cs="Arial"/>
          <w:i/>
          <w:iCs/>
          <w:color w:val="000000"/>
          <w:sz w:val="19"/>
          <w:szCs w:val="19"/>
        </w:rPr>
        <w:t>vivax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e </w:t>
      </w:r>
      <w:r w:rsidRPr="00CC5492">
        <w:rPr>
          <w:rFonts w:ascii="Arial" w:hAnsi="Arial" w:cs="Arial"/>
          <w:i/>
          <w:iCs/>
          <w:color w:val="000000"/>
          <w:sz w:val="19"/>
          <w:szCs w:val="19"/>
        </w:rPr>
        <w:t>P. ovale</w:t>
      </w:r>
      <w:r w:rsidRPr="00CC5492">
        <w:rPr>
          <w:rFonts w:ascii="Arial" w:hAnsi="Arial" w:cs="Arial"/>
          <w:color w:val="000000"/>
          <w:sz w:val="19"/>
          <w:szCs w:val="19"/>
        </w:rPr>
        <w:t>. Além de seu efeito antimalárico, a cloroquina tem também ação antipirética e anti-</w:t>
      </w:r>
      <w:proofErr w:type="gramStart"/>
      <w:r w:rsidRPr="00CC5492">
        <w:rPr>
          <w:rFonts w:ascii="Arial" w:hAnsi="Arial" w:cs="Arial"/>
          <w:color w:val="000000"/>
          <w:sz w:val="19"/>
          <w:szCs w:val="19"/>
        </w:rPr>
        <w:t>inflamatória.</w:t>
      </w:r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>(</w:t>
      </w:r>
      <w:proofErr w:type="gramEnd"/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 xml:space="preserve">7) </w:t>
      </w:r>
      <w:r w:rsidRPr="00CC5492">
        <w:rPr>
          <w:rFonts w:ascii="Arial" w:hAnsi="Arial" w:cs="Arial"/>
          <w:color w:val="000000"/>
          <w:sz w:val="19"/>
          <w:szCs w:val="19"/>
        </w:rPr>
        <w:t xml:space="preserve">A principal teoria do mecanismo antimalárico está relacionada ao bloqueio do processo de desintoxicação dos parasitos, e se concentra nos vacúolos alimentares dos plasmódios sensíveis, onde aumenta o pH. Desta forma, inibem a atividade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peroxidativado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heme e interrompem sua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polimeração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não enzimática em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hemozoína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. A incapacidade de ativar o heme destrói os parasitos por meio de lesões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oxidativas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e das membranas proteases </w:t>
      </w:r>
      <w:proofErr w:type="gramStart"/>
      <w:r w:rsidRPr="00CC5492">
        <w:rPr>
          <w:rFonts w:ascii="Arial" w:hAnsi="Arial" w:cs="Arial"/>
          <w:color w:val="000000"/>
          <w:sz w:val="19"/>
          <w:szCs w:val="19"/>
        </w:rPr>
        <w:t>digestivas.</w:t>
      </w:r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>(</w:t>
      </w:r>
      <w:proofErr w:type="gramEnd"/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 xml:space="preserve">3) </w:t>
      </w:r>
      <w:r w:rsidRPr="00CC5492">
        <w:rPr>
          <w:rFonts w:ascii="Arial" w:hAnsi="Arial" w:cs="Arial"/>
          <w:color w:val="000000"/>
          <w:sz w:val="19"/>
          <w:szCs w:val="19"/>
        </w:rPr>
        <w:t>Os efeitos colaterais comuns entre CQ/HCQ incluem distúrbios gastrointestinais (vômito, náusea, diarreia, dor no estômago, anorexia e perda de peso) e reações na pele (</w:t>
      </w:r>
      <w:proofErr w:type="spellStart"/>
      <w:r w:rsidRPr="00CC5492">
        <w:rPr>
          <w:rFonts w:ascii="Arial" w:hAnsi="Arial" w:cs="Arial"/>
          <w:i/>
          <w:iCs/>
          <w:color w:val="000000"/>
          <w:sz w:val="19"/>
          <w:szCs w:val="19"/>
        </w:rPr>
        <w:t>rash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 cutâneo, prurido e perda de cabelo). São observados raros casos de falha renal e reações alérgicas. CQ/HCQ podem também causar reações adversas fatais ou sérias no coração e retina, epilepsia, hipoglicemia, bem como envenenamento causado por overdose. Retinopatia irreversível ocorre em 1% dos casos por uso contínuo – 5 a 7 anos. Apesar de CQ e HCQ poderem bloquear a infecção por SARS-CoV-2 em células epiteliais </w:t>
      </w:r>
      <w:proofErr w:type="gramStart"/>
      <w:r w:rsidRPr="00CC5492">
        <w:rPr>
          <w:rFonts w:ascii="Arial" w:hAnsi="Arial" w:cs="Arial"/>
          <w:color w:val="000000"/>
          <w:sz w:val="19"/>
          <w:szCs w:val="19"/>
        </w:rPr>
        <w:t>renais Vero</w:t>
      </w:r>
      <w:proofErr w:type="gramEnd"/>
      <w:r w:rsidRPr="00CC5492">
        <w:rPr>
          <w:rFonts w:ascii="Arial" w:hAnsi="Arial" w:cs="Arial"/>
          <w:color w:val="000000"/>
          <w:sz w:val="19"/>
          <w:szCs w:val="19"/>
        </w:rPr>
        <w:t xml:space="preserve"> E3, este efeito parece ser específico do tipo celular. Estudos relataram que CQ e HCQ não inibiram a entrada de SARS-CoV-2 em células pulmonares </w:t>
      </w:r>
      <w:r w:rsidRPr="00CC5492">
        <w:rPr>
          <w:rFonts w:ascii="Arial" w:hAnsi="Arial" w:cs="Arial"/>
          <w:i/>
          <w:iCs/>
          <w:color w:val="000000"/>
          <w:sz w:val="19"/>
          <w:szCs w:val="19"/>
        </w:rPr>
        <w:t>in vitro</w:t>
      </w:r>
      <w:r w:rsidRPr="00CC5492">
        <w:rPr>
          <w:rFonts w:ascii="Arial" w:hAnsi="Arial" w:cs="Arial"/>
          <w:color w:val="000000"/>
          <w:sz w:val="19"/>
          <w:szCs w:val="19"/>
        </w:rPr>
        <w:t xml:space="preserve">, uma vez que CQ e HCQ não têm como alvo uma protease </w:t>
      </w:r>
      <w:proofErr w:type="spellStart"/>
      <w:r w:rsidRPr="00CC5492">
        <w:rPr>
          <w:rFonts w:ascii="Arial" w:hAnsi="Arial" w:cs="Arial"/>
          <w:color w:val="000000"/>
          <w:sz w:val="19"/>
          <w:szCs w:val="19"/>
        </w:rPr>
        <w:t>transmembrana</w:t>
      </w:r>
      <w:proofErr w:type="spellEnd"/>
      <w:r w:rsidRPr="00CC5492">
        <w:rPr>
          <w:rFonts w:ascii="Arial" w:hAnsi="Arial" w:cs="Arial"/>
          <w:color w:val="000000"/>
          <w:sz w:val="19"/>
          <w:szCs w:val="19"/>
        </w:rPr>
        <w:t xml:space="preserve">, independente do pH, que é uma chave da molécula para infecção viral em células epiteliais das vias aéreas. Infelizmente, nem todos os estudos </w:t>
      </w:r>
      <w:r w:rsidRPr="00CC5492">
        <w:rPr>
          <w:rFonts w:ascii="Arial" w:hAnsi="Arial" w:cs="Arial"/>
          <w:i/>
          <w:iCs/>
          <w:color w:val="000000"/>
          <w:sz w:val="19"/>
          <w:szCs w:val="19"/>
        </w:rPr>
        <w:t>in vitro</w:t>
      </w:r>
      <w:r w:rsidRPr="00CC5492">
        <w:rPr>
          <w:rFonts w:ascii="Arial" w:hAnsi="Arial" w:cs="Arial"/>
          <w:color w:val="000000"/>
          <w:sz w:val="19"/>
          <w:szCs w:val="19"/>
        </w:rPr>
        <w:t xml:space="preserve"> encorajadores para o SARS-COV-2 podem ser traduzidos em configurações </w:t>
      </w:r>
      <w:r w:rsidRPr="00CC5492">
        <w:rPr>
          <w:rFonts w:ascii="Arial" w:hAnsi="Arial" w:cs="Arial"/>
          <w:i/>
          <w:iCs/>
          <w:color w:val="000000"/>
          <w:sz w:val="19"/>
          <w:szCs w:val="19"/>
        </w:rPr>
        <w:t xml:space="preserve">in </w:t>
      </w:r>
      <w:proofErr w:type="gramStart"/>
      <w:r w:rsidRPr="00CC5492">
        <w:rPr>
          <w:rFonts w:ascii="Arial" w:hAnsi="Arial" w:cs="Arial"/>
          <w:i/>
          <w:iCs/>
          <w:color w:val="000000"/>
          <w:sz w:val="19"/>
          <w:szCs w:val="19"/>
        </w:rPr>
        <w:t>vivo</w:t>
      </w:r>
      <w:r w:rsidRPr="00CC5492">
        <w:rPr>
          <w:rFonts w:ascii="Arial" w:hAnsi="Arial" w:cs="Arial"/>
          <w:color w:val="000000"/>
          <w:sz w:val="19"/>
          <w:szCs w:val="19"/>
        </w:rPr>
        <w:t>.</w:t>
      </w:r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>(</w:t>
      </w:r>
      <w:proofErr w:type="gramEnd"/>
      <w:r w:rsidRPr="00CC5492">
        <w:rPr>
          <w:rFonts w:ascii="Arial" w:hAnsi="Arial" w:cs="Arial"/>
          <w:color w:val="000000"/>
          <w:sz w:val="19"/>
          <w:szCs w:val="19"/>
          <w:vertAlign w:val="superscript"/>
        </w:rPr>
        <w:t>2, 9)</w:t>
      </w:r>
    </w:p>
    <w:p w14:paraId="5D1E3BB8" w14:textId="77777777" w:rsidR="00CC5492" w:rsidRPr="00CC5492" w:rsidRDefault="00CC5492" w:rsidP="00CC5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50" w:lineRule="atLeast"/>
        <w:ind w:firstLine="454"/>
        <w:jc w:val="both"/>
        <w:textAlignment w:val="center"/>
        <w:rPr>
          <w:rFonts w:ascii="Arial" w:hAnsi="Arial" w:cs="Arial"/>
          <w:color w:val="000000"/>
          <w:sz w:val="19"/>
          <w:szCs w:val="19"/>
        </w:rPr>
      </w:pPr>
      <w:r w:rsidRPr="00CC5492">
        <w:rPr>
          <w:rFonts w:ascii="Arial" w:hAnsi="Arial" w:cs="Arial"/>
          <w:color w:val="000000"/>
          <w:sz w:val="19"/>
          <w:szCs w:val="19"/>
        </w:rPr>
        <w:t xml:space="preserve">Finalmente, os programas de controle de malária estão sendo afetados de várias maneiras pela COVID-19. Para a prevenção da malária, os mosquiteiros tratados com inseticida precisam ser renovados regularmente, mas as campanhas de distribuição foram adiadas ou canceladas. Para a detecção e tratamento da malária, os indivíduos podem parar de frequentar as unidades de saúde por </w:t>
      </w:r>
      <w:r w:rsidRPr="00CC5492">
        <w:rPr>
          <w:rFonts w:ascii="Arial" w:hAnsi="Arial" w:cs="Arial"/>
          <w:color w:val="000000"/>
          <w:sz w:val="19"/>
          <w:szCs w:val="19"/>
        </w:rPr>
        <w:lastRenderedPageBreak/>
        <w:t>medo de exposição à COVID-19 ou porque não podem pagar pelo transporte, e os profissionais de saúde precisam de recursos adicionais para a proteção contra a COVID-19. Ainda, o fornecimento de insumos para diagnóstico e medicamentos está sendo interrompido em alguns países, o que é agravado pela produção de medicamentos e diagnósticos abaixo do padrão e falsificados.</w:t>
      </w:r>
    </w:p>
    <w:p w14:paraId="6BE5F47B" w14:textId="77777777" w:rsidR="00CC5492" w:rsidRPr="00CC5492" w:rsidRDefault="00CC5492" w:rsidP="00CC5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50" w:lineRule="atLeast"/>
        <w:ind w:firstLine="454"/>
        <w:jc w:val="both"/>
        <w:textAlignment w:val="center"/>
        <w:rPr>
          <w:rFonts w:ascii="Arial" w:hAnsi="Arial" w:cs="Arial"/>
          <w:color w:val="000000"/>
          <w:sz w:val="19"/>
          <w:szCs w:val="19"/>
        </w:rPr>
      </w:pPr>
    </w:p>
    <w:p w14:paraId="6FE10F70" w14:textId="77777777" w:rsidR="00CC5492" w:rsidRPr="00CC5492" w:rsidRDefault="00CC5492" w:rsidP="00CC5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57" w:line="250" w:lineRule="atLeast"/>
        <w:textAlignment w:val="center"/>
        <w:rPr>
          <w:rFonts w:ascii="Arial" w:hAnsi="Arial" w:cs="Arial"/>
          <w:b/>
          <w:bCs/>
          <w:caps/>
          <w:color w:val="007B94"/>
          <w:sz w:val="20"/>
          <w:szCs w:val="20"/>
        </w:rPr>
      </w:pPr>
      <w:r w:rsidRPr="00CC5492">
        <w:rPr>
          <w:rFonts w:ascii="Arial" w:hAnsi="Arial" w:cs="Arial"/>
          <w:b/>
          <w:bCs/>
          <w:caps/>
          <w:color w:val="007B94"/>
          <w:sz w:val="20"/>
          <w:szCs w:val="20"/>
        </w:rPr>
        <w:t>REFERÊNCIAS</w:t>
      </w:r>
    </w:p>
    <w:p w14:paraId="281A262A" w14:textId="77777777" w:rsidR="00CC5492" w:rsidRPr="00CC5492" w:rsidRDefault="00CC5492" w:rsidP="00CC5492">
      <w:pPr>
        <w:tabs>
          <w:tab w:val="left" w:pos="283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suppressAutoHyphens/>
        <w:autoSpaceDE w:val="0"/>
        <w:autoSpaceDN w:val="0"/>
        <w:adjustRightInd w:val="0"/>
        <w:spacing w:before="28" w:line="288" w:lineRule="auto"/>
        <w:ind w:left="283" w:hanging="283"/>
        <w:jc w:val="both"/>
        <w:textAlignment w:val="center"/>
        <w:rPr>
          <w:rFonts w:ascii="Arial" w:hAnsi="Arial" w:cs="Arial"/>
          <w:color w:val="000000"/>
          <w:sz w:val="16"/>
          <w:szCs w:val="16"/>
          <w:lang w:val="en-US"/>
        </w:rPr>
      </w:pPr>
      <w:r w:rsidRPr="00CC5492">
        <w:rPr>
          <w:rFonts w:ascii="Arial" w:hAnsi="Arial" w:cs="Arial"/>
          <w:color w:val="000000"/>
          <w:sz w:val="16"/>
          <w:szCs w:val="16"/>
        </w:rPr>
        <w:t>1.</w:t>
      </w:r>
      <w:r w:rsidRPr="00CC5492">
        <w:rPr>
          <w:rFonts w:ascii="Arial" w:hAnsi="Arial" w:cs="Arial"/>
          <w:color w:val="000000"/>
          <w:sz w:val="16"/>
          <w:szCs w:val="16"/>
        </w:rPr>
        <w:tab/>
        <w:t xml:space="preserve">Menezes RAO, Gomes MDSM, Mendes AM, Couto ÁARA, </w:t>
      </w:r>
      <w:proofErr w:type="spellStart"/>
      <w:r w:rsidRPr="00CC5492">
        <w:rPr>
          <w:rFonts w:ascii="Arial" w:hAnsi="Arial" w:cs="Arial"/>
          <w:color w:val="000000"/>
          <w:sz w:val="16"/>
          <w:szCs w:val="16"/>
        </w:rPr>
        <w:t>Nacher</w:t>
      </w:r>
      <w:proofErr w:type="spellEnd"/>
      <w:r w:rsidRPr="00CC5492">
        <w:rPr>
          <w:rFonts w:ascii="Arial" w:hAnsi="Arial" w:cs="Arial"/>
          <w:color w:val="000000"/>
          <w:sz w:val="16"/>
          <w:szCs w:val="16"/>
        </w:rPr>
        <w:t xml:space="preserve"> M, Pimenta TS, Sousa ACP, Baptista ARS, Jesus MI, </w:t>
      </w:r>
      <w:proofErr w:type="spellStart"/>
      <w:r w:rsidRPr="00CC5492">
        <w:rPr>
          <w:rFonts w:ascii="Arial" w:hAnsi="Arial" w:cs="Arial"/>
          <w:color w:val="000000"/>
          <w:sz w:val="16"/>
          <w:szCs w:val="16"/>
        </w:rPr>
        <w:t>Enk</w:t>
      </w:r>
      <w:proofErr w:type="spellEnd"/>
      <w:r w:rsidRPr="00CC5492">
        <w:rPr>
          <w:rFonts w:ascii="Arial" w:hAnsi="Arial" w:cs="Arial"/>
          <w:color w:val="000000"/>
          <w:sz w:val="16"/>
          <w:szCs w:val="16"/>
        </w:rPr>
        <w:t xml:space="preserve"> MJ, Cunha MG, Machado RLD.  </w:t>
      </w:r>
      <w:proofErr w:type="spellStart"/>
      <w:r w:rsidRPr="00CC5492">
        <w:rPr>
          <w:rFonts w:ascii="Arial" w:hAnsi="Arial" w:cs="Arial"/>
          <w:color w:val="000000"/>
          <w:sz w:val="16"/>
          <w:szCs w:val="16"/>
          <w:lang w:val="en-US"/>
        </w:rPr>
        <w:t>Enteroparasite</w:t>
      </w:r>
      <w:proofErr w:type="spellEnd"/>
      <w:r w:rsidRPr="00CC5492">
        <w:rPr>
          <w:rFonts w:ascii="Arial" w:hAnsi="Arial" w:cs="Arial"/>
          <w:color w:val="000000"/>
          <w:sz w:val="16"/>
          <w:szCs w:val="16"/>
          <w:lang w:val="en-US"/>
        </w:rPr>
        <w:t xml:space="preserve"> and vivax malaria co-infection on the Brazil-French Guiana border: Epidemiological, </w:t>
      </w:r>
      <w:proofErr w:type="spellStart"/>
      <w:proofErr w:type="gramStart"/>
      <w:r w:rsidRPr="00CC5492">
        <w:rPr>
          <w:rFonts w:ascii="Arial" w:hAnsi="Arial" w:cs="Arial"/>
          <w:color w:val="000000"/>
          <w:sz w:val="16"/>
          <w:szCs w:val="16"/>
          <w:lang w:val="en-US"/>
        </w:rPr>
        <w:t>haematological</w:t>
      </w:r>
      <w:proofErr w:type="spellEnd"/>
      <w:proofErr w:type="gramEnd"/>
      <w:r w:rsidRPr="00CC5492">
        <w:rPr>
          <w:rFonts w:ascii="Arial" w:hAnsi="Arial" w:cs="Arial"/>
          <w:color w:val="000000"/>
          <w:sz w:val="16"/>
          <w:szCs w:val="16"/>
          <w:lang w:val="en-US"/>
        </w:rPr>
        <w:t xml:space="preserve"> and immunological aspects. </w:t>
      </w:r>
      <w:proofErr w:type="spellStart"/>
      <w:r w:rsidRPr="00CC5492">
        <w:rPr>
          <w:rFonts w:ascii="Arial" w:hAnsi="Arial" w:cs="Arial"/>
          <w:color w:val="000000"/>
          <w:sz w:val="16"/>
          <w:szCs w:val="16"/>
          <w:lang w:val="en-US"/>
        </w:rPr>
        <w:t>PLoS</w:t>
      </w:r>
      <w:proofErr w:type="spellEnd"/>
      <w:r w:rsidRPr="00CC5492">
        <w:rPr>
          <w:rFonts w:ascii="Arial" w:hAnsi="Arial" w:cs="Arial"/>
          <w:color w:val="000000"/>
          <w:sz w:val="16"/>
          <w:szCs w:val="16"/>
          <w:lang w:val="en-US"/>
        </w:rPr>
        <w:t xml:space="preserve"> One. 2018;13(1</w:t>
      </w:r>
      <w:proofErr w:type="gramStart"/>
      <w:r w:rsidRPr="00CC5492">
        <w:rPr>
          <w:rFonts w:ascii="Arial" w:hAnsi="Arial" w:cs="Arial"/>
          <w:color w:val="000000"/>
          <w:sz w:val="16"/>
          <w:szCs w:val="16"/>
          <w:lang w:val="en-US"/>
        </w:rPr>
        <w:t>):e</w:t>
      </w:r>
      <w:proofErr w:type="gramEnd"/>
      <w:r w:rsidRPr="00CC5492">
        <w:rPr>
          <w:rFonts w:ascii="Arial" w:hAnsi="Arial" w:cs="Arial"/>
          <w:color w:val="000000"/>
          <w:sz w:val="16"/>
          <w:szCs w:val="16"/>
          <w:lang w:val="en-US"/>
        </w:rPr>
        <w:t xml:space="preserve">0189958. </w:t>
      </w:r>
      <w:proofErr w:type="spellStart"/>
      <w:r w:rsidRPr="00CC5492">
        <w:rPr>
          <w:rFonts w:ascii="Arial" w:hAnsi="Arial" w:cs="Arial"/>
          <w:color w:val="000000"/>
          <w:sz w:val="16"/>
          <w:szCs w:val="16"/>
          <w:lang w:val="en-US"/>
        </w:rPr>
        <w:t>doi</w:t>
      </w:r>
      <w:proofErr w:type="spellEnd"/>
      <w:r w:rsidRPr="00CC5492">
        <w:rPr>
          <w:rFonts w:ascii="Arial" w:hAnsi="Arial" w:cs="Arial"/>
          <w:color w:val="000000"/>
          <w:sz w:val="16"/>
          <w:szCs w:val="16"/>
          <w:lang w:val="en-US"/>
        </w:rPr>
        <w:t>: 10.1371/journal.pone.0189958. PMID: 29293589.</w:t>
      </w:r>
    </w:p>
    <w:p w14:paraId="0E36D115" w14:textId="77777777" w:rsidR="00CC5492" w:rsidRPr="00CC5492" w:rsidRDefault="00CC5492" w:rsidP="00CC5492">
      <w:pPr>
        <w:tabs>
          <w:tab w:val="left" w:pos="283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suppressAutoHyphens/>
        <w:autoSpaceDE w:val="0"/>
        <w:autoSpaceDN w:val="0"/>
        <w:adjustRightInd w:val="0"/>
        <w:spacing w:before="28" w:line="288" w:lineRule="auto"/>
        <w:ind w:left="283" w:hanging="283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CC5492">
        <w:rPr>
          <w:rFonts w:ascii="Arial" w:hAnsi="Arial" w:cs="Arial"/>
          <w:color w:val="000000"/>
          <w:sz w:val="16"/>
          <w:szCs w:val="16"/>
          <w:lang w:val="en-US"/>
        </w:rPr>
        <w:t>2.</w:t>
      </w:r>
      <w:r w:rsidRPr="00CC549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Lei Zi-Ning, Wu </w:t>
      </w:r>
      <w:proofErr w:type="spellStart"/>
      <w:r w:rsidRPr="00CC5492">
        <w:rPr>
          <w:rFonts w:ascii="Arial" w:hAnsi="Arial" w:cs="Arial"/>
          <w:color w:val="000000"/>
          <w:sz w:val="16"/>
          <w:szCs w:val="16"/>
          <w:lang w:val="en-US"/>
        </w:rPr>
        <w:t>Zhuo-Xun</w:t>
      </w:r>
      <w:proofErr w:type="spellEnd"/>
      <w:r w:rsidRPr="00CC5492">
        <w:rPr>
          <w:rFonts w:ascii="Arial" w:hAnsi="Arial" w:cs="Arial"/>
          <w:color w:val="000000"/>
          <w:sz w:val="16"/>
          <w:szCs w:val="16"/>
          <w:lang w:val="en-US"/>
        </w:rPr>
        <w:t xml:space="preserve">, Dong S, Yang Dong-Hua, Zhang L, </w:t>
      </w:r>
      <w:proofErr w:type="spellStart"/>
      <w:r w:rsidRPr="00CC5492">
        <w:rPr>
          <w:rFonts w:ascii="Arial" w:hAnsi="Arial" w:cs="Arial"/>
          <w:color w:val="000000"/>
          <w:sz w:val="16"/>
          <w:szCs w:val="16"/>
          <w:lang w:val="en-US"/>
        </w:rPr>
        <w:t>ZunfuKe</w:t>
      </w:r>
      <w:proofErr w:type="spellEnd"/>
      <w:r w:rsidRPr="00CC5492">
        <w:rPr>
          <w:rFonts w:ascii="Arial" w:hAnsi="Arial" w:cs="Arial"/>
          <w:color w:val="000000"/>
          <w:sz w:val="16"/>
          <w:szCs w:val="16"/>
          <w:lang w:val="en-US"/>
        </w:rPr>
        <w:t xml:space="preserve"> et, </w:t>
      </w:r>
      <w:proofErr w:type="gramStart"/>
      <w:r w:rsidRPr="00CC5492">
        <w:rPr>
          <w:rFonts w:ascii="Arial" w:hAnsi="Arial" w:cs="Arial"/>
          <w:color w:val="000000"/>
          <w:sz w:val="16"/>
          <w:szCs w:val="16"/>
          <w:lang w:val="en-US"/>
        </w:rPr>
        <w:t>al..</w:t>
      </w:r>
      <w:proofErr w:type="gramEnd"/>
      <w:r w:rsidRPr="00CC5492">
        <w:rPr>
          <w:rFonts w:ascii="Arial" w:hAnsi="Arial" w:cs="Arial"/>
          <w:color w:val="000000"/>
          <w:sz w:val="16"/>
          <w:szCs w:val="16"/>
          <w:lang w:val="en-US"/>
        </w:rPr>
        <w:t xml:space="preserve"> Chloroquine and hydroxychloroquine in the treatment of malaria and repurposing in treating COVID-19. </w:t>
      </w:r>
      <w:proofErr w:type="spellStart"/>
      <w:r w:rsidRPr="00CC5492">
        <w:rPr>
          <w:rFonts w:ascii="Arial" w:hAnsi="Arial" w:cs="Arial"/>
          <w:color w:val="000000"/>
          <w:sz w:val="16"/>
          <w:szCs w:val="16"/>
        </w:rPr>
        <w:t>PharmacolTher</w:t>
      </w:r>
      <w:proofErr w:type="spellEnd"/>
      <w:r w:rsidRPr="00CC5492">
        <w:rPr>
          <w:rFonts w:ascii="Arial" w:hAnsi="Arial" w:cs="Arial"/>
          <w:color w:val="000000"/>
          <w:sz w:val="16"/>
          <w:szCs w:val="16"/>
        </w:rPr>
        <w:t>.  2020; 216:107672 DOI: 10.1016/j.pharmthera.2020.107672.</w:t>
      </w:r>
    </w:p>
    <w:p w14:paraId="67FFD277" w14:textId="77777777" w:rsidR="00CC5492" w:rsidRPr="00CC5492" w:rsidRDefault="00CC5492" w:rsidP="00CC5492">
      <w:pPr>
        <w:tabs>
          <w:tab w:val="left" w:pos="283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suppressAutoHyphens/>
        <w:autoSpaceDE w:val="0"/>
        <w:autoSpaceDN w:val="0"/>
        <w:adjustRightInd w:val="0"/>
        <w:spacing w:before="28" w:line="288" w:lineRule="auto"/>
        <w:ind w:left="283" w:hanging="283"/>
        <w:jc w:val="both"/>
        <w:textAlignment w:val="center"/>
        <w:rPr>
          <w:rFonts w:ascii="Arial" w:hAnsi="Arial" w:cs="Arial"/>
          <w:color w:val="000000"/>
          <w:spacing w:val="-2"/>
          <w:sz w:val="16"/>
          <w:szCs w:val="16"/>
          <w:lang w:val="en-US"/>
        </w:rPr>
      </w:pPr>
      <w:r w:rsidRPr="00CC5492">
        <w:rPr>
          <w:rFonts w:ascii="Arial" w:hAnsi="Arial" w:cs="Arial"/>
          <w:color w:val="000000"/>
          <w:spacing w:val="-2"/>
          <w:sz w:val="16"/>
          <w:szCs w:val="16"/>
        </w:rPr>
        <w:t>3.</w:t>
      </w:r>
      <w:r w:rsidRPr="00CC5492">
        <w:rPr>
          <w:rFonts w:ascii="Arial" w:hAnsi="Arial" w:cs="Arial"/>
          <w:color w:val="000000"/>
          <w:spacing w:val="-2"/>
          <w:sz w:val="16"/>
          <w:szCs w:val="16"/>
        </w:rPr>
        <w:tab/>
      </w:r>
      <w:proofErr w:type="spellStart"/>
      <w:r w:rsidRPr="00CC5492">
        <w:rPr>
          <w:rFonts w:ascii="Arial" w:hAnsi="Arial" w:cs="Arial"/>
          <w:color w:val="000000"/>
          <w:spacing w:val="-2"/>
          <w:sz w:val="16"/>
          <w:szCs w:val="16"/>
        </w:rPr>
        <w:t>Pratt-Riccio</w:t>
      </w:r>
      <w:proofErr w:type="spellEnd"/>
      <w:r w:rsidRPr="00CC5492">
        <w:rPr>
          <w:rFonts w:ascii="Arial" w:hAnsi="Arial" w:cs="Arial"/>
          <w:color w:val="000000"/>
          <w:spacing w:val="-2"/>
          <w:sz w:val="16"/>
          <w:szCs w:val="16"/>
        </w:rPr>
        <w:t xml:space="preserve"> LR, Baptista BO, Torres VR, Bianco-Junior C, </w:t>
      </w:r>
      <w:proofErr w:type="spellStart"/>
      <w:r w:rsidRPr="00CC5492">
        <w:rPr>
          <w:rFonts w:ascii="Arial" w:hAnsi="Arial" w:cs="Arial"/>
          <w:color w:val="000000"/>
          <w:spacing w:val="-2"/>
          <w:sz w:val="16"/>
          <w:szCs w:val="16"/>
        </w:rPr>
        <w:t>Perce</w:t>
      </w:r>
      <w:proofErr w:type="spellEnd"/>
      <w:r w:rsidRPr="00CC5492">
        <w:rPr>
          <w:rFonts w:ascii="Arial" w:hAnsi="Arial" w:cs="Arial"/>
          <w:color w:val="000000"/>
          <w:spacing w:val="-2"/>
          <w:sz w:val="16"/>
          <w:szCs w:val="16"/>
        </w:rPr>
        <w:t xml:space="preserve">-Da-Silva DS, </w:t>
      </w:r>
      <w:proofErr w:type="spellStart"/>
      <w:r w:rsidRPr="00CC5492">
        <w:rPr>
          <w:rFonts w:ascii="Arial" w:hAnsi="Arial" w:cs="Arial"/>
          <w:color w:val="000000"/>
          <w:spacing w:val="-2"/>
          <w:sz w:val="16"/>
          <w:szCs w:val="16"/>
        </w:rPr>
        <w:t>Riccio</w:t>
      </w:r>
      <w:proofErr w:type="spellEnd"/>
      <w:r w:rsidRPr="00CC5492">
        <w:rPr>
          <w:rFonts w:ascii="Arial" w:hAnsi="Arial" w:cs="Arial"/>
          <w:color w:val="000000"/>
          <w:spacing w:val="-2"/>
          <w:sz w:val="16"/>
          <w:szCs w:val="16"/>
        </w:rPr>
        <w:t xml:space="preserve"> EKP, Lima-Junior JDC, </w:t>
      </w:r>
      <w:proofErr w:type="spellStart"/>
      <w:r w:rsidRPr="00CC5492">
        <w:rPr>
          <w:rFonts w:ascii="Arial" w:hAnsi="Arial" w:cs="Arial"/>
          <w:color w:val="000000"/>
          <w:spacing w:val="-2"/>
          <w:sz w:val="16"/>
          <w:szCs w:val="16"/>
        </w:rPr>
        <w:t>Totino</w:t>
      </w:r>
      <w:proofErr w:type="spellEnd"/>
      <w:r w:rsidRPr="00CC5492">
        <w:rPr>
          <w:rFonts w:ascii="Arial" w:hAnsi="Arial" w:cs="Arial"/>
          <w:color w:val="000000"/>
          <w:spacing w:val="-2"/>
          <w:sz w:val="16"/>
          <w:szCs w:val="16"/>
        </w:rPr>
        <w:t xml:space="preserve"> PRR, Cassiano GC, </w:t>
      </w:r>
      <w:proofErr w:type="spellStart"/>
      <w:r w:rsidRPr="00CC5492">
        <w:rPr>
          <w:rFonts w:ascii="Arial" w:hAnsi="Arial" w:cs="Arial"/>
          <w:color w:val="000000"/>
          <w:spacing w:val="-2"/>
          <w:sz w:val="16"/>
          <w:szCs w:val="16"/>
        </w:rPr>
        <w:t>Storti</w:t>
      </w:r>
      <w:proofErr w:type="spellEnd"/>
      <w:r w:rsidRPr="00CC5492">
        <w:rPr>
          <w:rFonts w:ascii="Arial" w:hAnsi="Arial" w:cs="Arial"/>
          <w:color w:val="000000"/>
          <w:spacing w:val="-2"/>
          <w:sz w:val="16"/>
          <w:szCs w:val="16"/>
        </w:rPr>
        <w:t xml:space="preserve">-Melo LM, Machado RLD, de Oliveira-Ferreira J, </w:t>
      </w:r>
      <w:proofErr w:type="spellStart"/>
      <w:r w:rsidRPr="00CC5492">
        <w:rPr>
          <w:rFonts w:ascii="Arial" w:hAnsi="Arial" w:cs="Arial"/>
          <w:color w:val="000000"/>
          <w:spacing w:val="-2"/>
          <w:sz w:val="16"/>
          <w:szCs w:val="16"/>
        </w:rPr>
        <w:t>Banic</w:t>
      </w:r>
      <w:proofErr w:type="spellEnd"/>
      <w:r w:rsidRPr="00CC5492">
        <w:rPr>
          <w:rFonts w:ascii="Arial" w:hAnsi="Arial" w:cs="Arial"/>
          <w:color w:val="000000"/>
          <w:spacing w:val="-2"/>
          <w:sz w:val="16"/>
          <w:szCs w:val="16"/>
        </w:rPr>
        <w:t xml:space="preserve"> DM, Carvalho LJM, Daniel-Ribeiro CT. </w:t>
      </w:r>
      <w:r w:rsidRPr="00CC5492">
        <w:rPr>
          <w:rFonts w:ascii="Arial" w:hAnsi="Arial" w:cs="Arial"/>
          <w:color w:val="000000"/>
          <w:spacing w:val="-2"/>
          <w:sz w:val="16"/>
          <w:szCs w:val="16"/>
          <w:lang w:val="en-US"/>
        </w:rPr>
        <w:t xml:space="preserve">Chloroquine and mefloquine resistance profiles are not related to the </w:t>
      </w:r>
      <w:proofErr w:type="spellStart"/>
      <w:r w:rsidRPr="00CC5492">
        <w:rPr>
          <w:rFonts w:ascii="Arial" w:hAnsi="Arial" w:cs="Arial"/>
          <w:color w:val="000000"/>
          <w:spacing w:val="-2"/>
          <w:sz w:val="16"/>
          <w:szCs w:val="16"/>
          <w:lang w:val="en-US"/>
        </w:rPr>
        <w:t>circumsporozoite</w:t>
      </w:r>
      <w:proofErr w:type="spellEnd"/>
      <w:r w:rsidRPr="00CC5492">
        <w:rPr>
          <w:rFonts w:ascii="Arial" w:hAnsi="Arial" w:cs="Arial"/>
          <w:color w:val="000000"/>
          <w:spacing w:val="-2"/>
          <w:sz w:val="16"/>
          <w:szCs w:val="16"/>
          <w:lang w:val="en-US"/>
        </w:rPr>
        <w:t xml:space="preserve"> protein (CSP) VK210 subtypes in field isolates of Plasmodium vivax from Manaus, Brazilian Amazon. Mem Inst Oswaldo Cruz. 2019;</w:t>
      </w:r>
      <w:proofErr w:type="gramStart"/>
      <w:r w:rsidRPr="00CC5492">
        <w:rPr>
          <w:rFonts w:ascii="Arial" w:hAnsi="Arial" w:cs="Arial"/>
          <w:color w:val="000000"/>
          <w:spacing w:val="-2"/>
          <w:sz w:val="16"/>
          <w:szCs w:val="16"/>
          <w:lang w:val="en-US"/>
        </w:rPr>
        <w:t>114:e</w:t>
      </w:r>
      <w:proofErr w:type="gramEnd"/>
      <w:r w:rsidRPr="00CC5492">
        <w:rPr>
          <w:rFonts w:ascii="Arial" w:hAnsi="Arial" w:cs="Arial"/>
          <w:color w:val="000000"/>
          <w:spacing w:val="-2"/>
          <w:sz w:val="16"/>
          <w:szCs w:val="16"/>
          <w:lang w:val="en-US"/>
        </w:rPr>
        <w:t xml:space="preserve">190054. </w:t>
      </w:r>
      <w:proofErr w:type="spellStart"/>
      <w:r w:rsidRPr="00CC5492">
        <w:rPr>
          <w:rFonts w:ascii="Arial" w:hAnsi="Arial" w:cs="Arial"/>
          <w:color w:val="000000"/>
          <w:spacing w:val="-2"/>
          <w:sz w:val="16"/>
          <w:szCs w:val="16"/>
          <w:lang w:val="en-US"/>
        </w:rPr>
        <w:t>doi</w:t>
      </w:r>
      <w:proofErr w:type="spellEnd"/>
      <w:r w:rsidRPr="00CC5492">
        <w:rPr>
          <w:rFonts w:ascii="Arial" w:hAnsi="Arial" w:cs="Arial"/>
          <w:color w:val="000000"/>
          <w:spacing w:val="-2"/>
          <w:sz w:val="16"/>
          <w:szCs w:val="16"/>
          <w:lang w:val="en-US"/>
        </w:rPr>
        <w:t xml:space="preserve">: 10.1590/0074-02760190054. </w:t>
      </w:r>
      <w:proofErr w:type="spellStart"/>
      <w:r w:rsidRPr="00CC5492">
        <w:rPr>
          <w:rFonts w:ascii="Arial" w:hAnsi="Arial" w:cs="Arial"/>
          <w:color w:val="000000"/>
          <w:spacing w:val="-2"/>
          <w:sz w:val="16"/>
          <w:szCs w:val="16"/>
          <w:lang w:val="en-US"/>
        </w:rPr>
        <w:t>Epub</w:t>
      </w:r>
      <w:proofErr w:type="spellEnd"/>
      <w:r w:rsidRPr="00CC5492">
        <w:rPr>
          <w:rFonts w:ascii="Arial" w:hAnsi="Arial" w:cs="Arial"/>
          <w:color w:val="000000"/>
          <w:spacing w:val="-2"/>
          <w:sz w:val="16"/>
          <w:szCs w:val="16"/>
          <w:lang w:val="en-US"/>
        </w:rPr>
        <w:t xml:space="preserve"> 2019 Aug 12.</w:t>
      </w:r>
    </w:p>
    <w:p w14:paraId="5C3A1624" w14:textId="77777777" w:rsidR="00CC5492" w:rsidRPr="00CC5492" w:rsidRDefault="00CC5492" w:rsidP="00CC5492">
      <w:pPr>
        <w:tabs>
          <w:tab w:val="left" w:pos="283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suppressAutoHyphens/>
        <w:autoSpaceDE w:val="0"/>
        <w:autoSpaceDN w:val="0"/>
        <w:adjustRightInd w:val="0"/>
        <w:spacing w:before="28" w:line="288" w:lineRule="auto"/>
        <w:ind w:left="283" w:hanging="283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CC5492">
        <w:rPr>
          <w:rFonts w:ascii="Arial" w:hAnsi="Arial" w:cs="Arial"/>
          <w:color w:val="000000"/>
          <w:sz w:val="16"/>
          <w:szCs w:val="16"/>
          <w:lang w:val="en-US"/>
        </w:rPr>
        <w:t>4.</w:t>
      </w:r>
      <w:r w:rsidRPr="00CC549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Hussein MIH, </w:t>
      </w:r>
      <w:proofErr w:type="spellStart"/>
      <w:r w:rsidRPr="00CC5492">
        <w:rPr>
          <w:rFonts w:ascii="Arial" w:hAnsi="Arial" w:cs="Arial"/>
          <w:color w:val="000000"/>
          <w:sz w:val="16"/>
          <w:szCs w:val="16"/>
          <w:lang w:val="en-US"/>
        </w:rPr>
        <w:t>Albashir</w:t>
      </w:r>
      <w:proofErr w:type="spellEnd"/>
      <w:r w:rsidRPr="00CC5492">
        <w:rPr>
          <w:rFonts w:ascii="Arial" w:hAnsi="Arial" w:cs="Arial"/>
          <w:color w:val="000000"/>
          <w:sz w:val="16"/>
          <w:szCs w:val="16"/>
          <w:lang w:val="en-US"/>
        </w:rPr>
        <w:t xml:space="preserve"> AAD, </w:t>
      </w:r>
      <w:proofErr w:type="spellStart"/>
      <w:r w:rsidRPr="00CC5492">
        <w:rPr>
          <w:rFonts w:ascii="Arial" w:hAnsi="Arial" w:cs="Arial"/>
          <w:color w:val="000000"/>
          <w:sz w:val="16"/>
          <w:szCs w:val="16"/>
          <w:lang w:val="en-US"/>
        </w:rPr>
        <w:t>Elawad</w:t>
      </w:r>
      <w:proofErr w:type="spellEnd"/>
      <w:r w:rsidRPr="00CC5492">
        <w:rPr>
          <w:rFonts w:ascii="Arial" w:hAnsi="Arial" w:cs="Arial"/>
          <w:color w:val="000000"/>
          <w:sz w:val="16"/>
          <w:szCs w:val="16"/>
          <w:lang w:val="en-US"/>
        </w:rPr>
        <w:t xml:space="preserve"> OAMA, </w:t>
      </w:r>
      <w:proofErr w:type="spellStart"/>
      <w:r w:rsidRPr="00CC5492">
        <w:rPr>
          <w:rFonts w:ascii="Arial" w:hAnsi="Arial" w:cs="Arial"/>
          <w:color w:val="000000"/>
          <w:sz w:val="16"/>
          <w:szCs w:val="16"/>
          <w:lang w:val="en-US"/>
        </w:rPr>
        <w:t>Homeida</w:t>
      </w:r>
      <w:proofErr w:type="spellEnd"/>
      <w:r w:rsidRPr="00CC5492">
        <w:rPr>
          <w:rFonts w:ascii="Arial" w:hAnsi="Arial" w:cs="Arial"/>
          <w:color w:val="000000"/>
          <w:sz w:val="16"/>
          <w:szCs w:val="16"/>
          <w:lang w:val="en-US"/>
        </w:rPr>
        <w:t xml:space="preserve"> A. Malaria and COVID-19: unmasking their ties. </w:t>
      </w:r>
      <w:r w:rsidRPr="00CC5492">
        <w:rPr>
          <w:rFonts w:ascii="Arial" w:hAnsi="Arial" w:cs="Arial"/>
          <w:color w:val="000000"/>
          <w:sz w:val="16"/>
          <w:szCs w:val="16"/>
        </w:rPr>
        <w:t xml:space="preserve">Malar J. 2020;23;19(1):457.   </w:t>
      </w:r>
      <w:proofErr w:type="spellStart"/>
      <w:r w:rsidRPr="00CC5492">
        <w:rPr>
          <w:rFonts w:ascii="Arial" w:hAnsi="Arial" w:cs="Arial"/>
          <w:color w:val="000000"/>
          <w:sz w:val="16"/>
          <w:szCs w:val="16"/>
        </w:rPr>
        <w:t>doi</w:t>
      </w:r>
      <w:proofErr w:type="spellEnd"/>
      <w:r w:rsidRPr="00CC5492">
        <w:rPr>
          <w:rFonts w:ascii="Arial" w:hAnsi="Arial" w:cs="Arial"/>
          <w:color w:val="000000"/>
          <w:sz w:val="16"/>
          <w:szCs w:val="16"/>
        </w:rPr>
        <w:t>: 10.1186/s12936-020-03541-w.</w:t>
      </w:r>
    </w:p>
    <w:p w14:paraId="3B704708" w14:textId="77777777" w:rsidR="00CC5492" w:rsidRPr="00CC5492" w:rsidRDefault="00CC5492" w:rsidP="00CC5492">
      <w:pPr>
        <w:tabs>
          <w:tab w:val="left" w:pos="283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suppressAutoHyphens/>
        <w:autoSpaceDE w:val="0"/>
        <w:autoSpaceDN w:val="0"/>
        <w:adjustRightInd w:val="0"/>
        <w:spacing w:before="28" w:line="288" w:lineRule="auto"/>
        <w:ind w:left="283" w:hanging="283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CC5492">
        <w:rPr>
          <w:rFonts w:ascii="Arial" w:hAnsi="Arial" w:cs="Arial"/>
          <w:color w:val="000000"/>
          <w:sz w:val="16"/>
          <w:szCs w:val="16"/>
        </w:rPr>
        <w:t>5.</w:t>
      </w:r>
      <w:r w:rsidRPr="00CC5492">
        <w:rPr>
          <w:rFonts w:ascii="Arial" w:hAnsi="Arial" w:cs="Arial"/>
          <w:color w:val="000000"/>
          <w:sz w:val="16"/>
          <w:szCs w:val="16"/>
        </w:rPr>
        <w:tab/>
        <w:t xml:space="preserve">Ventura AMRDS, Fernandes AAM, </w:t>
      </w:r>
      <w:proofErr w:type="spellStart"/>
      <w:r w:rsidRPr="00CC5492">
        <w:rPr>
          <w:rFonts w:ascii="Arial" w:hAnsi="Arial" w:cs="Arial"/>
          <w:color w:val="000000"/>
          <w:sz w:val="16"/>
          <w:szCs w:val="16"/>
        </w:rPr>
        <w:t>Zanini</w:t>
      </w:r>
      <w:proofErr w:type="spellEnd"/>
      <w:r w:rsidRPr="00CC5492">
        <w:rPr>
          <w:rFonts w:ascii="Arial" w:hAnsi="Arial" w:cs="Arial"/>
          <w:color w:val="000000"/>
          <w:sz w:val="16"/>
          <w:szCs w:val="16"/>
        </w:rPr>
        <w:t xml:space="preserve"> GM, </w:t>
      </w:r>
      <w:proofErr w:type="spellStart"/>
      <w:r w:rsidRPr="00CC5492">
        <w:rPr>
          <w:rFonts w:ascii="Arial" w:hAnsi="Arial" w:cs="Arial"/>
          <w:color w:val="000000"/>
          <w:sz w:val="16"/>
          <w:szCs w:val="16"/>
        </w:rPr>
        <w:t>Pratt-Riccio</w:t>
      </w:r>
      <w:proofErr w:type="spellEnd"/>
      <w:r w:rsidRPr="00CC5492">
        <w:rPr>
          <w:rFonts w:ascii="Arial" w:hAnsi="Arial" w:cs="Arial"/>
          <w:color w:val="000000"/>
          <w:sz w:val="16"/>
          <w:szCs w:val="16"/>
        </w:rPr>
        <w:t xml:space="preserve"> LR, Sequeira CG, do Monte CRS, Martins-Filho AJ, Machado RLD, </w:t>
      </w:r>
      <w:proofErr w:type="spellStart"/>
      <w:r w:rsidRPr="00CC5492">
        <w:rPr>
          <w:rFonts w:ascii="Arial" w:hAnsi="Arial" w:cs="Arial"/>
          <w:color w:val="000000"/>
          <w:sz w:val="16"/>
          <w:szCs w:val="16"/>
        </w:rPr>
        <w:t>Libonati</w:t>
      </w:r>
      <w:proofErr w:type="spellEnd"/>
      <w:r w:rsidRPr="00CC5492">
        <w:rPr>
          <w:rFonts w:ascii="Arial" w:hAnsi="Arial" w:cs="Arial"/>
          <w:color w:val="000000"/>
          <w:sz w:val="16"/>
          <w:szCs w:val="16"/>
        </w:rPr>
        <w:t xml:space="preserve"> RMF, de Souza JM, Daniel-Ribeiro CT. </w:t>
      </w:r>
      <w:r w:rsidRPr="00CC5492">
        <w:rPr>
          <w:rFonts w:ascii="Arial" w:hAnsi="Arial" w:cs="Arial"/>
          <w:color w:val="000000"/>
          <w:sz w:val="16"/>
          <w:szCs w:val="16"/>
          <w:lang w:val="en-US"/>
        </w:rPr>
        <w:t xml:space="preserve">Clinical and immunological profiles of </w:t>
      </w:r>
      <w:proofErr w:type="spellStart"/>
      <w:r w:rsidRPr="00CC5492">
        <w:rPr>
          <w:rFonts w:ascii="Arial" w:hAnsi="Arial" w:cs="Arial"/>
          <w:color w:val="000000"/>
          <w:sz w:val="16"/>
          <w:szCs w:val="16"/>
          <w:lang w:val="en-US"/>
        </w:rPr>
        <w:t>anaemia</w:t>
      </w:r>
      <w:proofErr w:type="spellEnd"/>
      <w:r w:rsidRPr="00CC5492">
        <w:rPr>
          <w:rFonts w:ascii="Arial" w:hAnsi="Arial" w:cs="Arial"/>
          <w:color w:val="000000"/>
          <w:sz w:val="16"/>
          <w:szCs w:val="16"/>
          <w:lang w:val="en-US"/>
        </w:rPr>
        <w:t xml:space="preserve"> in children and adolescents with Plasmodium vivax malaria in the Pará state, Brazilian Amazon. </w:t>
      </w:r>
      <w:r w:rsidRPr="00CC5492">
        <w:rPr>
          <w:rFonts w:ascii="Arial" w:hAnsi="Arial" w:cs="Arial"/>
          <w:color w:val="000000"/>
          <w:sz w:val="16"/>
          <w:szCs w:val="16"/>
        </w:rPr>
        <w:t xml:space="preserve">Acta Trop. </w:t>
      </w:r>
      <w:proofErr w:type="gramStart"/>
      <w:r w:rsidRPr="00CC5492">
        <w:rPr>
          <w:rFonts w:ascii="Arial" w:hAnsi="Arial" w:cs="Arial"/>
          <w:color w:val="000000"/>
          <w:sz w:val="16"/>
          <w:szCs w:val="16"/>
        </w:rPr>
        <w:t>2018;181:122</w:t>
      </w:r>
      <w:proofErr w:type="gramEnd"/>
      <w:r w:rsidRPr="00CC5492">
        <w:rPr>
          <w:rFonts w:ascii="Arial" w:hAnsi="Arial" w:cs="Arial"/>
          <w:color w:val="000000"/>
          <w:sz w:val="16"/>
          <w:szCs w:val="16"/>
        </w:rPr>
        <w:t xml:space="preserve">-131. </w:t>
      </w:r>
      <w:proofErr w:type="spellStart"/>
      <w:r w:rsidRPr="00CC5492">
        <w:rPr>
          <w:rFonts w:ascii="Arial" w:hAnsi="Arial" w:cs="Arial"/>
          <w:color w:val="000000"/>
          <w:sz w:val="16"/>
          <w:szCs w:val="16"/>
        </w:rPr>
        <w:t>doi</w:t>
      </w:r>
      <w:proofErr w:type="spellEnd"/>
      <w:r w:rsidRPr="00CC5492">
        <w:rPr>
          <w:rFonts w:ascii="Arial" w:hAnsi="Arial" w:cs="Arial"/>
          <w:color w:val="000000"/>
          <w:sz w:val="16"/>
          <w:szCs w:val="16"/>
        </w:rPr>
        <w:t xml:space="preserve">: 10.1016/j.actatropica.2018.01.022. </w:t>
      </w:r>
      <w:proofErr w:type="spellStart"/>
      <w:r w:rsidRPr="00CC5492">
        <w:rPr>
          <w:rFonts w:ascii="Arial" w:hAnsi="Arial" w:cs="Arial"/>
          <w:color w:val="000000"/>
          <w:sz w:val="16"/>
          <w:szCs w:val="16"/>
        </w:rPr>
        <w:t>Epub</w:t>
      </w:r>
      <w:proofErr w:type="spellEnd"/>
      <w:r w:rsidRPr="00CC5492">
        <w:rPr>
          <w:rFonts w:ascii="Arial" w:hAnsi="Arial" w:cs="Arial"/>
          <w:color w:val="000000"/>
          <w:sz w:val="16"/>
          <w:szCs w:val="16"/>
        </w:rPr>
        <w:t xml:space="preserve"> 2018 </w:t>
      </w:r>
      <w:proofErr w:type="spellStart"/>
      <w:r w:rsidRPr="00CC5492">
        <w:rPr>
          <w:rFonts w:ascii="Arial" w:hAnsi="Arial" w:cs="Arial"/>
          <w:color w:val="000000"/>
          <w:sz w:val="16"/>
          <w:szCs w:val="16"/>
        </w:rPr>
        <w:t>Feb</w:t>
      </w:r>
      <w:proofErr w:type="spellEnd"/>
      <w:r w:rsidRPr="00CC5492">
        <w:rPr>
          <w:rFonts w:ascii="Arial" w:hAnsi="Arial" w:cs="Arial"/>
          <w:color w:val="000000"/>
          <w:sz w:val="16"/>
          <w:szCs w:val="16"/>
        </w:rPr>
        <w:t xml:space="preserve"> 2.</w:t>
      </w:r>
    </w:p>
    <w:p w14:paraId="5D61E395" w14:textId="77777777" w:rsidR="00CC5492" w:rsidRPr="00CC5492" w:rsidRDefault="00CC5492" w:rsidP="00CC5492">
      <w:pPr>
        <w:tabs>
          <w:tab w:val="left" w:pos="283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suppressAutoHyphens/>
        <w:autoSpaceDE w:val="0"/>
        <w:autoSpaceDN w:val="0"/>
        <w:adjustRightInd w:val="0"/>
        <w:spacing w:before="28" w:line="288" w:lineRule="auto"/>
        <w:ind w:left="283" w:hanging="283"/>
        <w:jc w:val="both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CC5492">
        <w:rPr>
          <w:rFonts w:ascii="Arial" w:hAnsi="Arial" w:cs="Arial"/>
          <w:color w:val="000000"/>
          <w:sz w:val="16"/>
          <w:szCs w:val="16"/>
        </w:rPr>
        <w:t>6.</w:t>
      </w:r>
      <w:r w:rsidRPr="00CC5492">
        <w:rPr>
          <w:rFonts w:ascii="Arial" w:hAnsi="Arial" w:cs="Arial"/>
          <w:color w:val="000000"/>
          <w:sz w:val="16"/>
          <w:szCs w:val="16"/>
        </w:rPr>
        <w:tab/>
        <w:t xml:space="preserve">Monteiro TH, Chaves </w:t>
      </w:r>
      <w:proofErr w:type="spellStart"/>
      <w:r w:rsidRPr="00CC5492">
        <w:rPr>
          <w:rFonts w:ascii="Arial" w:hAnsi="Arial" w:cs="Arial"/>
          <w:color w:val="000000"/>
          <w:sz w:val="16"/>
          <w:szCs w:val="16"/>
        </w:rPr>
        <w:t>Tdo</w:t>
      </w:r>
      <w:proofErr w:type="spellEnd"/>
      <w:r w:rsidRPr="00CC5492">
        <w:rPr>
          <w:rFonts w:ascii="Arial" w:hAnsi="Arial" w:cs="Arial"/>
          <w:color w:val="000000"/>
          <w:sz w:val="16"/>
          <w:szCs w:val="16"/>
        </w:rPr>
        <w:t xml:space="preserve"> S, Matos HJ, </w:t>
      </w:r>
      <w:proofErr w:type="spellStart"/>
      <w:r w:rsidRPr="00CC5492">
        <w:rPr>
          <w:rFonts w:ascii="Arial" w:hAnsi="Arial" w:cs="Arial"/>
          <w:color w:val="000000"/>
          <w:sz w:val="16"/>
          <w:szCs w:val="16"/>
        </w:rPr>
        <w:t>Sofffiatti</w:t>
      </w:r>
      <w:proofErr w:type="spellEnd"/>
      <w:r w:rsidRPr="00CC5492">
        <w:rPr>
          <w:rFonts w:ascii="Arial" w:hAnsi="Arial" w:cs="Arial"/>
          <w:color w:val="000000"/>
          <w:sz w:val="16"/>
          <w:szCs w:val="16"/>
        </w:rPr>
        <w:t xml:space="preserve"> NF, Guimarães RJ, Guimarães LH, Ventura AM, Machado RLD. </w:t>
      </w:r>
      <w:r w:rsidRPr="00CC5492">
        <w:rPr>
          <w:rFonts w:ascii="Arial" w:hAnsi="Arial" w:cs="Arial"/>
          <w:color w:val="000000"/>
          <w:sz w:val="16"/>
          <w:szCs w:val="16"/>
          <w:lang w:val="en-US"/>
        </w:rPr>
        <w:t xml:space="preserve">Basic sanitation, socioeconomic conditions, and degree of risk for the presence and maintenance of malaria in a low-transmission area in the Brazilian Amazon. </w:t>
      </w:r>
      <w:proofErr w:type="spellStart"/>
      <w:r w:rsidRPr="00CC5492">
        <w:rPr>
          <w:rFonts w:ascii="Arial" w:hAnsi="Arial" w:cs="Arial"/>
          <w:color w:val="000000"/>
          <w:sz w:val="16"/>
          <w:szCs w:val="16"/>
        </w:rPr>
        <w:t>Rev</w:t>
      </w:r>
      <w:proofErr w:type="spellEnd"/>
      <w:r w:rsidRPr="00CC549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CC5492">
        <w:rPr>
          <w:rFonts w:ascii="Arial" w:hAnsi="Arial" w:cs="Arial"/>
          <w:color w:val="000000"/>
          <w:sz w:val="16"/>
          <w:szCs w:val="16"/>
        </w:rPr>
        <w:t>Soc</w:t>
      </w:r>
      <w:proofErr w:type="spellEnd"/>
      <w:r w:rsidRPr="00CC549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CC5492">
        <w:rPr>
          <w:rFonts w:ascii="Arial" w:hAnsi="Arial" w:cs="Arial"/>
          <w:color w:val="000000"/>
          <w:sz w:val="16"/>
          <w:szCs w:val="16"/>
        </w:rPr>
        <w:t>Bras</w:t>
      </w:r>
      <w:proofErr w:type="spellEnd"/>
      <w:r w:rsidRPr="00CC549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CC5492">
        <w:rPr>
          <w:rFonts w:ascii="Arial" w:hAnsi="Arial" w:cs="Arial"/>
          <w:color w:val="000000"/>
          <w:sz w:val="16"/>
          <w:szCs w:val="16"/>
        </w:rPr>
        <w:t>Med</w:t>
      </w:r>
      <w:proofErr w:type="spellEnd"/>
      <w:r w:rsidRPr="00CC5492">
        <w:rPr>
          <w:rFonts w:ascii="Arial" w:hAnsi="Arial" w:cs="Arial"/>
          <w:color w:val="000000"/>
          <w:sz w:val="16"/>
          <w:szCs w:val="16"/>
        </w:rPr>
        <w:t xml:space="preserve"> Trop. 2015;48(5):573-9. </w:t>
      </w:r>
      <w:proofErr w:type="spellStart"/>
      <w:r w:rsidRPr="00CC5492">
        <w:rPr>
          <w:rFonts w:ascii="Arial" w:hAnsi="Arial" w:cs="Arial"/>
          <w:color w:val="000000"/>
          <w:sz w:val="16"/>
          <w:szCs w:val="16"/>
        </w:rPr>
        <w:t>doi</w:t>
      </w:r>
      <w:proofErr w:type="spellEnd"/>
      <w:r w:rsidRPr="00CC5492">
        <w:rPr>
          <w:rFonts w:ascii="Arial" w:hAnsi="Arial" w:cs="Arial"/>
          <w:color w:val="000000"/>
          <w:sz w:val="16"/>
          <w:szCs w:val="16"/>
        </w:rPr>
        <w:t>: 10.1590/0037-8682-0118-2015.</w:t>
      </w:r>
    </w:p>
    <w:p w14:paraId="0F64B7A1" w14:textId="77777777" w:rsidR="00CC5492" w:rsidRPr="00CC5492" w:rsidRDefault="00CC5492" w:rsidP="00CC5492">
      <w:pPr>
        <w:tabs>
          <w:tab w:val="left" w:pos="283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suppressAutoHyphens/>
        <w:autoSpaceDE w:val="0"/>
        <w:autoSpaceDN w:val="0"/>
        <w:adjustRightInd w:val="0"/>
        <w:spacing w:before="28" w:line="288" w:lineRule="auto"/>
        <w:ind w:left="283" w:hanging="283"/>
        <w:jc w:val="both"/>
        <w:textAlignment w:val="center"/>
        <w:rPr>
          <w:rFonts w:ascii="Arial" w:hAnsi="Arial" w:cs="Arial"/>
          <w:color w:val="000000"/>
          <w:sz w:val="16"/>
          <w:szCs w:val="16"/>
          <w:lang w:val="en-US"/>
        </w:rPr>
      </w:pPr>
      <w:r w:rsidRPr="00CC5492">
        <w:rPr>
          <w:rFonts w:ascii="Arial" w:hAnsi="Arial" w:cs="Arial"/>
          <w:color w:val="000000"/>
          <w:sz w:val="16"/>
          <w:szCs w:val="16"/>
        </w:rPr>
        <w:t>7.</w:t>
      </w:r>
      <w:r w:rsidRPr="00CC5492">
        <w:rPr>
          <w:rFonts w:ascii="Arial" w:hAnsi="Arial" w:cs="Arial"/>
          <w:color w:val="000000"/>
          <w:sz w:val="16"/>
          <w:szCs w:val="16"/>
        </w:rPr>
        <w:tab/>
        <w:t xml:space="preserve">Gomes </w:t>
      </w:r>
      <w:proofErr w:type="spellStart"/>
      <w:r w:rsidRPr="00CC5492">
        <w:rPr>
          <w:rFonts w:ascii="Arial" w:hAnsi="Arial" w:cs="Arial"/>
          <w:color w:val="000000"/>
          <w:sz w:val="16"/>
          <w:szCs w:val="16"/>
        </w:rPr>
        <w:t>Mdo</w:t>
      </w:r>
      <w:proofErr w:type="spellEnd"/>
      <w:r w:rsidRPr="00CC5492">
        <w:rPr>
          <w:rFonts w:ascii="Arial" w:hAnsi="Arial" w:cs="Arial"/>
          <w:color w:val="000000"/>
          <w:sz w:val="16"/>
          <w:szCs w:val="16"/>
        </w:rPr>
        <w:t xml:space="preserve"> S, Vieira JL, Machado RLD, </w:t>
      </w:r>
      <w:proofErr w:type="spellStart"/>
      <w:r w:rsidRPr="00CC5492">
        <w:rPr>
          <w:rFonts w:ascii="Arial" w:hAnsi="Arial" w:cs="Arial"/>
          <w:color w:val="000000"/>
          <w:sz w:val="16"/>
          <w:szCs w:val="16"/>
        </w:rPr>
        <w:t>Nacher</w:t>
      </w:r>
      <w:proofErr w:type="spellEnd"/>
      <w:r w:rsidRPr="00CC5492">
        <w:rPr>
          <w:rFonts w:ascii="Arial" w:hAnsi="Arial" w:cs="Arial"/>
          <w:color w:val="000000"/>
          <w:sz w:val="16"/>
          <w:szCs w:val="16"/>
        </w:rPr>
        <w:t xml:space="preserve"> M, </w:t>
      </w:r>
      <w:proofErr w:type="spellStart"/>
      <w:r w:rsidRPr="00CC5492">
        <w:rPr>
          <w:rFonts w:ascii="Arial" w:hAnsi="Arial" w:cs="Arial"/>
          <w:color w:val="000000"/>
          <w:sz w:val="16"/>
          <w:szCs w:val="16"/>
        </w:rPr>
        <w:t>Stefani</w:t>
      </w:r>
      <w:proofErr w:type="spellEnd"/>
      <w:r w:rsidRPr="00CC5492">
        <w:rPr>
          <w:rFonts w:ascii="Arial" w:hAnsi="Arial" w:cs="Arial"/>
          <w:color w:val="000000"/>
          <w:sz w:val="16"/>
          <w:szCs w:val="16"/>
        </w:rPr>
        <w:t xml:space="preserve"> A, Musset L, </w:t>
      </w:r>
      <w:proofErr w:type="spellStart"/>
      <w:r w:rsidRPr="00CC5492">
        <w:rPr>
          <w:rFonts w:ascii="Arial" w:hAnsi="Arial" w:cs="Arial"/>
          <w:color w:val="000000"/>
          <w:sz w:val="16"/>
          <w:szCs w:val="16"/>
        </w:rPr>
        <w:t>Legrand</w:t>
      </w:r>
      <w:proofErr w:type="spellEnd"/>
      <w:r w:rsidRPr="00CC5492">
        <w:rPr>
          <w:rFonts w:ascii="Arial" w:hAnsi="Arial" w:cs="Arial"/>
          <w:color w:val="000000"/>
          <w:sz w:val="16"/>
          <w:szCs w:val="16"/>
        </w:rPr>
        <w:t xml:space="preserve"> E, Menezes RA, Júnior AA, Sousa AP, Couto VS, Couto ÁA. </w:t>
      </w:r>
      <w:r w:rsidRPr="00CC5492">
        <w:rPr>
          <w:rFonts w:ascii="Arial" w:hAnsi="Arial" w:cs="Arial"/>
          <w:color w:val="000000"/>
          <w:sz w:val="16"/>
          <w:szCs w:val="16"/>
          <w:lang w:val="en-US"/>
        </w:rPr>
        <w:t xml:space="preserve">Efficacy in the treatment of malaria by Plasmodium vivax in </w:t>
      </w:r>
      <w:proofErr w:type="spellStart"/>
      <w:r w:rsidRPr="00CC5492">
        <w:rPr>
          <w:rFonts w:ascii="Arial" w:hAnsi="Arial" w:cs="Arial"/>
          <w:color w:val="000000"/>
          <w:sz w:val="16"/>
          <w:szCs w:val="16"/>
          <w:lang w:val="en-US"/>
        </w:rPr>
        <w:t>Oiapoque</w:t>
      </w:r>
      <w:proofErr w:type="spellEnd"/>
      <w:r w:rsidRPr="00CC5492">
        <w:rPr>
          <w:rFonts w:ascii="Arial" w:hAnsi="Arial" w:cs="Arial"/>
          <w:color w:val="000000"/>
          <w:sz w:val="16"/>
          <w:szCs w:val="16"/>
          <w:lang w:val="en-US"/>
        </w:rPr>
        <w:t xml:space="preserve">, Brazil, on the border with French Guiana: the importance of control over external factors. Malar J. </w:t>
      </w:r>
      <w:proofErr w:type="gramStart"/>
      <w:r w:rsidRPr="00CC5492">
        <w:rPr>
          <w:rFonts w:ascii="Arial" w:hAnsi="Arial" w:cs="Arial"/>
          <w:color w:val="000000"/>
          <w:sz w:val="16"/>
          <w:szCs w:val="16"/>
          <w:lang w:val="en-US"/>
        </w:rPr>
        <w:t>2015;14:402</w:t>
      </w:r>
      <w:proofErr w:type="gramEnd"/>
      <w:r w:rsidRPr="00CC5492">
        <w:rPr>
          <w:rFonts w:ascii="Arial" w:hAnsi="Arial" w:cs="Arial"/>
          <w:color w:val="000000"/>
          <w:sz w:val="16"/>
          <w:szCs w:val="16"/>
          <w:lang w:val="en-US"/>
        </w:rPr>
        <w:t xml:space="preserve">. </w:t>
      </w:r>
      <w:proofErr w:type="spellStart"/>
      <w:r w:rsidRPr="00CC5492">
        <w:rPr>
          <w:rFonts w:ascii="Arial" w:hAnsi="Arial" w:cs="Arial"/>
          <w:color w:val="000000"/>
          <w:sz w:val="16"/>
          <w:szCs w:val="16"/>
          <w:lang w:val="en-US"/>
        </w:rPr>
        <w:t>doi</w:t>
      </w:r>
      <w:proofErr w:type="spellEnd"/>
      <w:r w:rsidRPr="00CC5492">
        <w:rPr>
          <w:rFonts w:ascii="Arial" w:hAnsi="Arial" w:cs="Arial"/>
          <w:color w:val="000000"/>
          <w:sz w:val="16"/>
          <w:szCs w:val="16"/>
          <w:lang w:val="en-US"/>
        </w:rPr>
        <w:t xml:space="preserve">: 10.1186/s12936-015-0925-7.  </w:t>
      </w:r>
    </w:p>
    <w:p w14:paraId="25E54F91" w14:textId="77777777" w:rsidR="00CC5492" w:rsidRPr="00CC5492" w:rsidRDefault="00CC5492" w:rsidP="00CC5492">
      <w:pPr>
        <w:tabs>
          <w:tab w:val="left" w:pos="283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suppressAutoHyphens/>
        <w:autoSpaceDE w:val="0"/>
        <w:autoSpaceDN w:val="0"/>
        <w:adjustRightInd w:val="0"/>
        <w:spacing w:before="28" w:line="288" w:lineRule="auto"/>
        <w:ind w:left="283" w:hanging="283"/>
        <w:jc w:val="both"/>
        <w:textAlignment w:val="center"/>
        <w:rPr>
          <w:rFonts w:ascii="Arial" w:hAnsi="Arial" w:cs="Arial"/>
          <w:color w:val="000000"/>
          <w:spacing w:val="3"/>
          <w:sz w:val="16"/>
          <w:szCs w:val="16"/>
          <w:lang w:val="en-US"/>
        </w:rPr>
      </w:pPr>
      <w:r w:rsidRPr="00CC5492">
        <w:rPr>
          <w:rFonts w:ascii="Arial" w:hAnsi="Arial" w:cs="Arial"/>
          <w:color w:val="000000"/>
          <w:spacing w:val="3"/>
          <w:sz w:val="16"/>
          <w:szCs w:val="16"/>
          <w:lang w:val="en-US"/>
        </w:rPr>
        <w:t>8.</w:t>
      </w:r>
      <w:r w:rsidRPr="00CC5492">
        <w:rPr>
          <w:rFonts w:ascii="Arial" w:hAnsi="Arial" w:cs="Arial"/>
          <w:color w:val="000000"/>
          <w:spacing w:val="3"/>
          <w:sz w:val="16"/>
          <w:szCs w:val="16"/>
          <w:lang w:val="en-US"/>
        </w:rPr>
        <w:tab/>
      </w:r>
      <w:proofErr w:type="spellStart"/>
      <w:r w:rsidRPr="00CC5492">
        <w:rPr>
          <w:rFonts w:ascii="Arial" w:hAnsi="Arial" w:cs="Arial"/>
          <w:color w:val="000000"/>
          <w:spacing w:val="3"/>
          <w:sz w:val="16"/>
          <w:szCs w:val="16"/>
          <w:lang w:val="en-US"/>
        </w:rPr>
        <w:t>Amimo</w:t>
      </w:r>
      <w:proofErr w:type="spellEnd"/>
      <w:r w:rsidRPr="00CC5492">
        <w:rPr>
          <w:rFonts w:ascii="Arial" w:hAnsi="Arial" w:cs="Arial"/>
          <w:color w:val="000000"/>
          <w:spacing w:val="3"/>
          <w:sz w:val="16"/>
          <w:szCs w:val="16"/>
          <w:lang w:val="en-US"/>
        </w:rPr>
        <w:t xml:space="preserve"> F, Lambert B, </w:t>
      </w:r>
      <w:proofErr w:type="spellStart"/>
      <w:r w:rsidRPr="00CC5492">
        <w:rPr>
          <w:rFonts w:ascii="Arial" w:hAnsi="Arial" w:cs="Arial"/>
          <w:color w:val="000000"/>
          <w:spacing w:val="3"/>
          <w:sz w:val="16"/>
          <w:szCs w:val="16"/>
          <w:lang w:val="en-US"/>
        </w:rPr>
        <w:t>Magit</w:t>
      </w:r>
      <w:proofErr w:type="spellEnd"/>
      <w:r w:rsidRPr="00CC5492">
        <w:rPr>
          <w:rFonts w:ascii="Arial" w:hAnsi="Arial" w:cs="Arial"/>
          <w:color w:val="000000"/>
          <w:spacing w:val="3"/>
          <w:sz w:val="16"/>
          <w:szCs w:val="16"/>
          <w:lang w:val="en-US"/>
        </w:rPr>
        <w:t xml:space="preserve"> A. What does the COVID-19 pandemic mean for HIV, tuberculosis, and malaria control? Trop Med Health. 2020; 48:32. </w:t>
      </w:r>
      <w:proofErr w:type="spellStart"/>
      <w:r w:rsidRPr="00CC5492">
        <w:rPr>
          <w:rFonts w:ascii="Arial" w:hAnsi="Arial" w:cs="Arial"/>
          <w:color w:val="000000"/>
          <w:spacing w:val="3"/>
          <w:sz w:val="16"/>
          <w:szCs w:val="16"/>
          <w:lang w:val="en-US"/>
        </w:rPr>
        <w:t>doi</w:t>
      </w:r>
      <w:proofErr w:type="spellEnd"/>
      <w:r w:rsidRPr="00CC5492">
        <w:rPr>
          <w:rFonts w:ascii="Arial" w:hAnsi="Arial" w:cs="Arial"/>
          <w:color w:val="000000"/>
          <w:spacing w:val="3"/>
          <w:sz w:val="16"/>
          <w:szCs w:val="16"/>
          <w:lang w:val="en-US"/>
        </w:rPr>
        <w:t>: 10.1186/s41182-020-00219-6. </w:t>
      </w:r>
      <w:proofErr w:type="spellStart"/>
      <w:r w:rsidRPr="00CC5492">
        <w:rPr>
          <w:rFonts w:ascii="Arial" w:hAnsi="Arial" w:cs="Arial"/>
          <w:color w:val="000000"/>
          <w:spacing w:val="3"/>
          <w:sz w:val="16"/>
          <w:szCs w:val="16"/>
          <w:lang w:val="en-US"/>
        </w:rPr>
        <w:t>eCollection</w:t>
      </w:r>
      <w:proofErr w:type="spellEnd"/>
      <w:r w:rsidRPr="00CC5492">
        <w:rPr>
          <w:rFonts w:ascii="Arial" w:hAnsi="Arial" w:cs="Arial"/>
          <w:color w:val="000000"/>
          <w:spacing w:val="3"/>
          <w:sz w:val="16"/>
          <w:szCs w:val="16"/>
          <w:lang w:val="en-US"/>
        </w:rPr>
        <w:t xml:space="preserve"> 2020.</w:t>
      </w:r>
    </w:p>
    <w:p w14:paraId="7EB78AFF" w14:textId="77777777" w:rsidR="00CC5492" w:rsidRDefault="00CC5492" w:rsidP="00CC5492">
      <w:pPr>
        <w:tabs>
          <w:tab w:val="left" w:pos="283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suppressAutoHyphens/>
        <w:autoSpaceDE w:val="0"/>
        <w:autoSpaceDN w:val="0"/>
        <w:adjustRightInd w:val="0"/>
        <w:spacing w:before="28" w:line="288" w:lineRule="auto"/>
        <w:ind w:left="283" w:hanging="283"/>
        <w:jc w:val="both"/>
        <w:textAlignment w:val="center"/>
        <w:rPr>
          <w:rFonts w:ascii="Arial" w:hAnsi="Arial" w:cs="Arial"/>
          <w:color w:val="000000"/>
          <w:sz w:val="16"/>
          <w:szCs w:val="16"/>
          <w:lang w:val="en-US"/>
        </w:rPr>
      </w:pPr>
      <w:r w:rsidRPr="00CC5492">
        <w:rPr>
          <w:rFonts w:ascii="Arial" w:hAnsi="Arial" w:cs="Arial"/>
          <w:color w:val="000000"/>
          <w:sz w:val="16"/>
          <w:szCs w:val="16"/>
          <w:lang w:val="en-US"/>
        </w:rPr>
        <w:t>9.</w:t>
      </w:r>
      <w:r w:rsidRPr="00CC5492">
        <w:rPr>
          <w:rFonts w:ascii="Arial" w:hAnsi="Arial" w:cs="Arial"/>
          <w:color w:val="000000"/>
          <w:sz w:val="16"/>
          <w:szCs w:val="16"/>
          <w:lang w:val="en-US"/>
        </w:rPr>
        <w:tab/>
      </w:r>
      <w:proofErr w:type="spellStart"/>
      <w:r w:rsidRPr="00CC5492">
        <w:rPr>
          <w:rFonts w:ascii="Arial" w:hAnsi="Arial" w:cs="Arial"/>
          <w:color w:val="000000"/>
          <w:sz w:val="16"/>
          <w:szCs w:val="16"/>
          <w:lang w:val="en-US"/>
        </w:rPr>
        <w:t>Chiodini</w:t>
      </w:r>
      <w:proofErr w:type="spellEnd"/>
      <w:r w:rsidRPr="00CC5492">
        <w:rPr>
          <w:rFonts w:ascii="Arial" w:hAnsi="Arial" w:cs="Arial"/>
          <w:color w:val="000000"/>
          <w:sz w:val="16"/>
          <w:szCs w:val="16"/>
          <w:lang w:val="en-US"/>
        </w:rPr>
        <w:t xml:space="preserve"> J. COVID-19 and the impact on malaria. Travel Med Infect Dis. 2020; 35:101758. </w:t>
      </w:r>
      <w:proofErr w:type="spellStart"/>
      <w:r w:rsidRPr="00CC5492">
        <w:rPr>
          <w:rFonts w:ascii="Arial" w:hAnsi="Arial" w:cs="Arial"/>
          <w:color w:val="000000"/>
          <w:sz w:val="16"/>
          <w:szCs w:val="16"/>
          <w:lang w:val="en-US"/>
        </w:rPr>
        <w:t>doi</w:t>
      </w:r>
      <w:proofErr w:type="spellEnd"/>
      <w:r w:rsidRPr="00CC5492">
        <w:rPr>
          <w:rFonts w:ascii="Arial" w:hAnsi="Arial" w:cs="Arial"/>
          <w:color w:val="000000"/>
          <w:sz w:val="16"/>
          <w:szCs w:val="16"/>
          <w:lang w:val="en-US"/>
        </w:rPr>
        <w:t>: 10.1016/j.tmaid.2020.101758. </w:t>
      </w:r>
      <w:proofErr w:type="spellStart"/>
      <w:r w:rsidRPr="00CC5492">
        <w:rPr>
          <w:rFonts w:ascii="Arial" w:hAnsi="Arial" w:cs="Arial"/>
          <w:color w:val="000000"/>
          <w:sz w:val="16"/>
          <w:szCs w:val="16"/>
          <w:lang w:val="en-US"/>
        </w:rPr>
        <w:t>Epub</w:t>
      </w:r>
      <w:proofErr w:type="spellEnd"/>
      <w:r w:rsidRPr="00CC5492">
        <w:rPr>
          <w:rFonts w:ascii="Arial" w:hAnsi="Arial" w:cs="Arial"/>
          <w:color w:val="000000"/>
          <w:sz w:val="16"/>
          <w:szCs w:val="16"/>
          <w:lang w:val="en-US"/>
        </w:rPr>
        <w:t xml:space="preserve"> 2020 May 29.</w:t>
      </w:r>
    </w:p>
    <w:p w14:paraId="11D08A91" w14:textId="625C4F79" w:rsidR="00CC5492" w:rsidRDefault="00CC5492" w:rsidP="00CC5492">
      <w:pPr>
        <w:tabs>
          <w:tab w:val="left" w:pos="283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suppressAutoHyphens/>
        <w:autoSpaceDE w:val="0"/>
        <w:autoSpaceDN w:val="0"/>
        <w:adjustRightInd w:val="0"/>
        <w:spacing w:before="28" w:line="288" w:lineRule="auto"/>
        <w:ind w:left="283" w:hanging="283"/>
        <w:jc w:val="both"/>
        <w:textAlignment w:val="center"/>
        <w:rPr>
          <w:rFonts w:ascii="Arial" w:hAnsi="Arial" w:cs="Arial"/>
          <w:color w:val="000000"/>
          <w:sz w:val="16"/>
          <w:szCs w:val="16"/>
          <w:lang w:val="en-US"/>
        </w:rPr>
      </w:pPr>
      <w:r w:rsidRPr="00CC5492">
        <w:rPr>
          <w:rFonts w:ascii="Arial" w:hAnsi="Arial" w:cs="Arial"/>
          <w:color w:val="000000"/>
          <w:sz w:val="16"/>
          <w:szCs w:val="16"/>
          <w:lang w:val="en-US"/>
        </w:rPr>
        <w:t>10.</w:t>
      </w:r>
      <w:r w:rsidRPr="00CC5492">
        <w:rPr>
          <w:rFonts w:ascii="Arial" w:hAnsi="Arial" w:cs="Arial"/>
          <w:color w:val="000000"/>
          <w:sz w:val="16"/>
          <w:szCs w:val="16"/>
          <w:lang w:val="en-US"/>
        </w:rPr>
        <w:tab/>
        <w:t xml:space="preserve">Gutman JR, </w:t>
      </w:r>
      <w:proofErr w:type="spellStart"/>
      <w:r w:rsidRPr="00CC5492">
        <w:rPr>
          <w:rFonts w:ascii="Arial" w:hAnsi="Arial" w:cs="Arial"/>
          <w:color w:val="000000"/>
          <w:sz w:val="16"/>
          <w:szCs w:val="16"/>
          <w:lang w:val="en-US"/>
        </w:rPr>
        <w:t>Lucchi</w:t>
      </w:r>
      <w:proofErr w:type="spellEnd"/>
      <w:r w:rsidRPr="00CC5492">
        <w:rPr>
          <w:rFonts w:ascii="Arial" w:hAnsi="Arial" w:cs="Arial"/>
          <w:color w:val="000000"/>
          <w:sz w:val="16"/>
          <w:szCs w:val="16"/>
          <w:lang w:val="en-US"/>
        </w:rPr>
        <w:t xml:space="preserve"> NW, </w:t>
      </w:r>
      <w:proofErr w:type="spellStart"/>
      <w:r w:rsidRPr="00CC5492">
        <w:rPr>
          <w:rFonts w:ascii="Arial" w:hAnsi="Arial" w:cs="Arial"/>
          <w:color w:val="000000"/>
          <w:sz w:val="16"/>
          <w:szCs w:val="16"/>
          <w:lang w:val="en-US"/>
        </w:rPr>
        <w:t>Cantey</w:t>
      </w:r>
      <w:proofErr w:type="spellEnd"/>
      <w:r w:rsidRPr="00CC5492">
        <w:rPr>
          <w:rFonts w:ascii="Arial" w:hAnsi="Arial" w:cs="Arial"/>
          <w:color w:val="000000"/>
          <w:sz w:val="16"/>
          <w:szCs w:val="16"/>
          <w:lang w:val="en-US"/>
        </w:rPr>
        <w:t xml:space="preserve"> PT, Steinhardt LC, Samuels AM, </w:t>
      </w:r>
      <w:proofErr w:type="spellStart"/>
      <w:r w:rsidRPr="00CC5492">
        <w:rPr>
          <w:rFonts w:ascii="Arial" w:hAnsi="Arial" w:cs="Arial"/>
          <w:color w:val="000000"/>
          <w:sz w:val="16"/>
          <w:szCs w:val="16"/>
          <w:lang w:val="en-US"/>
        </w:rPr>
        <w:t>Kamb</w:t>
      </w:r>
      <w:proofErr w:type="spellEnd"/>
      <w:r w:rsidRPr="00CC5492">
        <w:rPr>
          <w:rFonts w:ascii="Arial" w:hAnsi="Arial" w:cs="Arial"/>
          <w:color w:val="000000"/>
          <w:sz w:val="16"/>
          <w:szCs w:val="16"/>
          <w:lang w:val="en-US"/>
        </w:rPr>
        <w:t xml:space="preserve"> ML, </w:t>
      </w:r>
      <w:proofErr w:type="spellStart"/>
      <w:r w:rsidRPr="00CC5492">
        <w:rPr>
          <w:rFonts w:ascii="Arial" w:hAnsi="Arial" w:cs="Arial"/>
          <w:color w:val="000000"/>
          <w:sz w:val="16"/>
          <w:szCs w:val="16"/>
          <w:lang w:val="en-US"/>
        </w:rPr>
        <w:t>Kapella</w:t>
      </w:r>
      <w:proofErr w:type="spellEnd"/>
      <w:r w:rsidRPr="00CC5492">
        <w:rPr>
          <w:rFonts w:ascii="Arial" w:hAnsi="Arial" w:cs="Arial"/>
          <w:color w:val="000000"/>
          <w:sz w:val="16"/>
          <w:szCs w:val="16"/>
          <w:lang w:val="en-US"/>
        </w:rPr>
        <w:t xml:space="preserve"> BK, McElroy PD, </w:t>
      </w:r>
      <w:proofErr w:type="spellStart"/>
      <w:r w:rsidRPr="00CC5492">
        <w:rPr>
          <w:rFonts w:ascii="Arial" w:hAnsi="Arial" w:cs="Arial"/>
          <w:color w:val="000000"/>
          <w:sz w:val="16"/>
          <w:szCs w:val="16"/>
          <w:lang w:val="en-US"/>
        </w:rPr>
        <w:t>Udhayakumar</w:t>
      </w:r>
      <w:proofErr w:type="spellEnd"/>
      <w:r w:rsidRPr="00CC5492">
        <w:rPr>
          <w:rFonts w:ascii="Arial" w:hAnsi="Arial" w:cs="Arial"/>
          <w:color w:val="000000"/>
          <w:sz w:val="16"/>
          <w:szCs w:val="16"/>
          <w:lang w:val="en-US"/>
        </w:rPr>
        <w:t xml:space="preserve"> V, </w:t>
      </w:r>
      <w:proofErr w:type="spellStart"/>
      <w:r w:rsidRPr="00CC5492">
        <w:rPr>
          <w:rFonts w:ascii="Arial" w:hAnsi="Arial" w:cs="Arial"/>
          <w:color w:val="000000"/>
          <w:sz w:val="16"/>
          <w:szCs w:val="16"/>
          <w:lang w:val="en-US"/>
        </w:rPr>
        <w:t>Lindblade</w:t>
      </w:r>
      <w:proofErr w:type="spellEnd"/>
      <w:r w:rsidRPr="00CC5492">
        <w:rPr>
          <w:rFonts w:ascii="Arial" w:hAnsi="Arial" w:cs="Arial"/>
          <w:color w:val="000000"/>
          <w:sz w:val="16"/>
          <w:szCs w:val="16"/>
          <w:lang w:val="en-US"/>
        </w:rPr>
        <w:t xml:space="preserve"> KA. Malaria and Parasitic Neglected Tropical Diseases: Potential </w:t>
      </w:r>
      <w:proofErr w:type="spellStart"/>
      <w:r w:rsidRPr="00CC5492">
        <w:rPr>
          <w:rFonts w:ascii="Arial" w:hAnsi="Arial" w:cs="Arial"/>
          <w:color w:val="000000"/>
          <w:sz w:val="16"/>
          <w:szCs w:val="16"/>
          <w:lang w:val="en-US"/>
        </w:rPr>
        <w:t>Syndemics</w:t>
      </w:r>
      <w:proofErr w:type="spellEnd"/>
      <w:r w:rsidRPr="00CC5492">
        <w:rPr>
          <w:rFonts w:ascii="Arial" w:hAnsi="Arial" w:cs="Arial"/>
          <w:color w:val="000000"/>
          <w:sz w:val="16"/>
          <w:szCs w:val="16"/>
          <w:lang w:val="en-US"/>
        </w:rPr>
        <w:t xml:space="preserve"> with COVID-19? Am J Trop Med </w:t>
      </w:r>
      <w:proofErr w:type="spellStart"/>
      <w:r w:rsidRPr="00CC5492">
        <w:rPr>
          <w:rFonts w:ascii="Arial" w:hAnsi="Arial" w:cs="Arial"/>
          <w:color w:val="000000"/>
          <w:sz w:val="16"/>
          <w:szCs w:val="16"/>
          <w:lang w:val="en-US"/>
        </w:rPr>
        <w:t>Hyg</w:t>
      </w:r>
      <w:proofErr w:type="spellEnd"/>
      <w:r w:rsidRPr="00CC5492">
        <w:rPr>
          <w:rFonts w:ascii="Arial" w:hAnsi="Arial" w:cs="Arial"/>
          <w:color w:val="000000"/>
          <w:sz w:val="16"/>
          <w:szCs w:val="16"/>
          <w:lang w:val="en-US"/>
        </w:rPr>
        <w:t xml:space="preserve">. 2020;103(2):572-577. </w:t>
      </w:r>
      <w:proofErr w:type="spellStart"/>
      <w:r w:rsidRPr="00CC5492">
        <w:rPr>
          <w:rFonts w:ascii="Arial" w:hAnsi="Arial" w:cs="Arial"/>
          <w:color w:val="000000"/>
          <w:sz w:val="16"/>
          <w:szCs w:val="16"/>
          <w:lang w:val="en-US"/>
        </w:rPr>
        <w:t>doi</w:t>
      </w:r>
      <w:proofErr w:type="spellEnd"/>
      <w:r w:rsidRPr="00CC5492">
        <w:rPr>
          <w:rFonts w:ascii="Arial" w:hAnsi="Arial" w:cs="Arial"/>
          <w:color w:val="000000"/>
          <w:sz w:val="16"/>
          <w:szCs w:val="16"/>
          <w:lang w:val="en-US"/>
        </w:rPr>
        <w:t xml:space="preserve">: 10.4269/ajtmh.20-0516. </w:t>
      </w:r>
      <w:proofErr w:type="spellStart"/>
      <w:r w:rsidRPr="00CC5492">
        <w:rPr>
          <w:rFonts w:ascii="Arial" w:hAnsi="Arial" w:cs="Arial"/>
          <w:color w:val="000000"/>
          <w:sz w:val="16"/>
          <w:szCs w:val="16"/>
          <w:lang w:val="en-US"/>
        </w:rPr>
        <w:t>Epub</w:t>
      </w:r>
      <w:proofErr w:type="spellEnd"/>
      <w:r w:rsidRPr="00CC5492">
        <w:rPr>
          <w:rFonts w:ascii="Arial" w:hAnsi="Arial" w:cs="Arial"/>
          <w:color w:val="000000"/>
          <w:sz w:val="16"/>
          <w:szCs w:val="16"/>
          <w:lang w:val="en-US"/>
        </w:rPr>
        <w:t xml:space="preserve"> 2020 Jun 1. PMID: 32484155.</w:t>
      </w:r>
    </w:p>
    <w:p w14:paraId="0A61B219" w14:textId="60FA1417" w:rsidR="00CC5492" w:rsidRDefault="00CC5492" w:rsidP="00CC5492">
      <w:pPr>
        <w:tabs>
          <w:tab w:val="left" w:pos="283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suppressAutoHyphens/>
        <w:autoSpaceDE w:val="0"/>
        <w:autoSpaceDN w:val="0"/>
        <w:adjustRightInd w:val="0"/>
        <w:spacing w:before="28" w:line="288" w:lineRule="auto"/>
        <w:ind w:left="283" w:hanging="283"/>
        <w:jc w:val="both"/>
        <w:textAlignment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74E19A3B" w14:textId="0DE6CE82" w:rsidR="00CC5492" w:rsidRDefault="00CC5492" w:rsidP="00CC5492">
      <w:pPr>
        <w:tabs>
          <w:tab w:val="left" w:pos="283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suppressAutoHyphens/>
        <w:autoSpaceDE w:val="0"/>
        <w:autoSpaceDN w:val="0"/>
        <w:adjustRightInd w:val="0"/>
        <w:spacing w:before="28" w:line="288" w:lineRule="auto"/>
        <w:ind w:left="283" w:hanging="283"/>
        <w:jc w:val="both"/>
        <w:textAlignment w:val="center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6C9274DE" w14:textId="77777777" w:rsidR="00CC5492" w:rsidRPr="00CC5492" w:rsidRDefault="00CC5492" w:rsidP="00CC5492">
      <w:pPr>
        <w:pBdr>
          <w:top w:val="single" w:sz="4" w:space="10" w:color="007B94"/>
        </w:pBdr>
        <w:tabs>
          <w:tab w:val="left" w:pos="283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suppressAutoHyphens/>
        <w:autoSpaceDE w:val="0"/>
        <w:autoSpaceDN w:val="0"/>
        <w:adjustRightInd w:val="0"/>
        <w:spacing w:after="28" w:line="288" w:lineRule="auto"/>
        <w:ind w:left="283" w:hanging="283"/>
        <w:jc w:val="right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CC5492">
        <w:rPr>
          <w:rFonts w:ascii="Arial" w:hAnsi="Arial" w:cs="Arial"/>
          <w:color w:val="000000"/>
          <w:sz w:val="16"/>
          <w:szCs w:val="16"/>
        </w:rPr>
        <w:t>Correspondência</w:t>
      </w:r>
    </w:p>
    <w:p w14:paraId="499A5C0A" w14:textId="77777777" w:rsidR="00CC5492" w:rsidRPr="00CC5492" w:rsidRDefault="00CC5492" w:rsidP="00CC5492">
      <w:pPr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CC5492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Ricardo Luiz Dantas Machado</w:t>
      </w:r>
    </w:p>
    <w:p w14:paraId="41C9BAFB" w14:textId="77777777" w:rsidR="00CC5492" w:rsidRPr="00CC5492" w:rsidRDefault="00CC5492" w:rsidP="00CC5492">
      <w:pPr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CC5492">
        <w:rPr>
          <w:rFonts w:ascii="Arial" w:hAnsi="Arial" w:cs="Arial"/>
          <w:i/>
          <w:iCs/>
          <w:color w:val="000000"/>
          <w:sz w:val="16"/>
          <w:szCs w:val="16"/>
        </w:rPr>
        <w:t>Instituto Biomédico - Bloco E salas 526/527/532</w:t>
      </w:r>
    </w:p>
    <w:p w14:paraId="731716BB" w14:textId="77777777" w:rsidR="00CC5492" w:rsidRPr="00CC5492" w:rsidRDefault="00CC5492" w:rsidP="00CC5492">
      <w:pPr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CC5492">
        <w:rPr>
          <w:rFonts w:ascii="Arial" w:hAnsi="Arial" w:cs="Arial"/>
          <w:i/>
          <w:iCs/>
          <w:color w:val="000000"/>
          <w:sz w:val="16"/>
          <w:szCs w:val="16"/>
        </w:rPr>
        <w:t>Outeiro São João Batista s/n - Campus Valonguinho</w:t>
      </w:r>
    </w:p>
    <w:p w14:paraId="57D0052F" w14:textId="77777777" w:rsidR="00CC5492" w:rsidRPr="00CC5492" w:rsidRDefault="00CC5492" w:rsidP="00CC5492">
      <w:pPr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CC5492">
        <w:rPr>
          <w:rFonts w:ascii="Arial" w:hAnsi="Arial" w:cs="Arial"/>
          <w:i/>
          <w:iCs/>
          <w:color w:val="000000"/>
          <w:sz w:val="16"/>
          <w:szCs w:val="16"/>
        </w:rPr>
        <w:t>Niterói - Rio de Janeiro</w:t>
      </w:r>
    </w:p>
    <w:p w14:paraId="6A8D1B7A" w14:textId="6263C2A6" w:rsidR="00CC5492" w:rsidRPr="00CC5492" w:rsidRDefault="00CC5492" w:rsidP="00CC5492">
      <w:pPr>
        <w:tabs>
          <w:tab w:val="left" w:pos="283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suppressAutoHyphens/>
        <w:autoSpaceDE w:val="0"/>
        <w:autoSpaceDN w:val="0"/>
        <w:adjustRightInd w:val="0"/>
        <w:spacing w:before="28" w:line="288" w:lineRule="auto"/>
        <w:ind w:left="283" w:hanging="283"/>
        <w:jc w:val="right"/>
        <w:textAlignment w:val="center"/>
        <w:rPr>
          <w:rFonts w:ascii="Arial" w:hAnsi="Arial" w:cs="Arial"/>
          <w:color w:val="000000"/>
          <w:sz w:val="16"/>
          <w:szCs w:val="16"/>
        </w:rPr>
      </w:pPr>
      <w:r w:rsidRPr="00CC5492">
        <w:rPr>
          <w:rFonts w:ascii="Arial" w:hAnsi="Arial" w:cs="Arial"/>
          <w:i/>
          <w:iCs/>
          <w:color w:val="000000"/>
          <w:sz w:val="16"/>
          <w:szCs w:val="16"/>
        </w:rPr>
        <w:t>CEP: 24020-141</w:t>
      </w:r>
    </w:p>
    <w:sectPr w:rsidR="00CC5492" w:rsidRPr="00CC54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611"/>
    <w:multiLevelType w:val="hybridMultilevel"/>
    <w:tmpl w:val="DAE05A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F27AC"/>
    <w:multiLevelType w:val="hybridMultilevel"/>
    <w:tmpl w:val="64F22764"/>
    <w:lvl w:ilvl="0" w:tplc="0416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 w15:restartNumberingAfterBreak="0">
    <w:nsid w:val="24980F30"/>
    <w:multiLevelType w:val="hybridMultilevel"/>
    <w:tmpl w:val="96F49B3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036BB"/>
    <w:multiLevelType w:val="hybridMultilevel"/>
    <w:tmpl w:val="ACBE9A0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EF0A8C"/>
    <w:multiLevelType w:val="hybridMultilevel"/>
    <w:tmpl w:val="BFD4AD08"/>
    <w:lvl w:ilvl="0" w:tplc="0416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08"/>
    <w:rsid w:val="00017257"/>
    <w:rsid w:val="00033A91"/>
    <w:rsid w:val="000E6C49"/>
    <w:rsid w:val="00131D00"/>
    <w:rsid w:val="00155824"/>
    <w:rsid w:val="001F3478"/>
    <w:rsid w:val="00266C3B"/>
    <w:rsid w:val="0027213E"/>
    <w:rsid w:val="00335808"/>
    <w:rsid w:val="003B202F"/>
    <w:rsid w:val="00435214"/>
    <w:rsid w:val="00466749"/>
    <w:rsid w:val="0047081A"/>
    <w:rsid w:val="004A5F03"/>
    <w:rsid w:val="0053501F"/>
    <w:rsid w:val="00572919"/>
    <w:rsid w:val="005B5557"/>
    <w:rsid w:val="006156DC"/>
    <w:rsid w:val="00673949"/>
    <w:rsid w:val="006B4625"/>
    <w:rsid w:val="006E528D"/>
    <w:rsid w:val="007439E6"/>
    <w:rsid w:val="00773C80"/>
    <w:rsid w:val="007F42F9"/>
    <w:rsid w:val="008039B7"/>
    <w:rsid w:val="00810D2D"/>
    <w:rsid w:val="008A607E"/>
    <w:rsid w:val="00937A42"/>
    <w:rsid w:val="009542A6"/>
    <w:rsid w:val="009F4867"/>
    <w:rsid w:val="00AD1CE8"/>
    <w:rsid w:val="00B42026"/>
    <w:rsid w:val="00B60795"/>
    <w:rsid w:val="00BF29E3"/>
    <w:rsid w:val="00C304BF"/>
    <w:rsid w:val="00C67CFC"/>
    <w:rsid w:val="00C93CA3"/>
    <w:rsid w:val="00CC3E59"/>
    <w:rsid w:val="00CC5492"/>
    <w:rsid w:val="00CE1A30"/>
    <w:rsid w:val="00D000DF"/>
    <w:rsid w:val="00D062CA"/>
    <w:rsid w:val="00D70931"/>
    <w:rsid w:val="00E826DF"/>
    <w:rsid w:val="00E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43D9"/>
  <w15:chartTrackingRefBased/>
  <w15:docId w15:val="{2FC8D836-6C3A-2D40-BD81-5597F683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SBAC">
    <w:name w:val="Titulo SBAC"/>
    <w:basedOn w:val="Normal"/>
    <w:uiPriority w:val="99"/>
    <w:rsid w:val="00335808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bCs/>
      <w:color w:val="007B94"/>
      <w:sz w:val="32"/>
      <w:szCs w:val="32"/>
      <w:lang w:val="en-US"/>
    </w:rPr>
  </w:style>
  <w:style w:type="paragraph" w:styleId="Legenda">
    <w:name w:val="caption"/>
    <w:basedOn w:val="Normal"/>
    <w:uiPriority w:val="99"/>
    <w:qFormat/>
    <w:rsid w:val="00335808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i/>
      <w:iCs/>
      <w:color w:val="000000"/>
      <w:sz w:val="16"/>
      <w:szCs w:val="16"/>
      <w:lang w:val="en-US"/>
    </w:rPr>
  </w:style>
  <w:style w:type="paragraph" w:customStyle="1" w:styleId="TextoEDITORIAL">
    <w:name w:val="Texto EDITORIAL"/>
    <w:basedOn w:val="Normal"/>
    <w:uiPriority w:val="99"/>
    <w:rsid w:val="0033580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28" w:line="240" w:lineRule="atLeast"/>
      <w:ind w:firstLine="454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Semestilodepargrafo">
    <w:name w:val="[Sem estilo de parágrafo]"/>
    <w:rsid w:val="003B202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TextoEDITORIALbullet">
    <w:name w:val="Texto EDITORIAL bullet"/>
    <w:basedOn w:val="Semestilodepargrafo"/>
    <w:next w:val="Semestilodepargrafo"/>
    <w:uiPriority w:val="99"/>
    <w:rsid w:val="003B202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after="28" w:line="240" w:lineRule="atLeast"/>
      <w:ind w:left="680" w:hanging="227"/>
      <w:jc w:val="both"/>
    </w:pPr>
    <w:rPr>
      <w:rFonts w:ascii="Arial" w:hAnsi="Arial" w:cs="Arial"/>
      <w:sz w:val="18"/>
      <w:szCs w:val="18"/>
    </w:rPr>
  </w:style>
  <w:style w:type="paragraph" w:customStyle="1" w:styleId="RBACentretituloreferencias">
    <w:name w:val="RBAC entretitulo referencias"/>
    <w:basedOn w:val="Semestilodepargrafo"/>
    <w:next w:val="Semestilodepargrafo"/>
    <w:uiPriority w:val="99"/>
    <w:rsid w:val="003B202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spacing w:after="57" w:line="250" w:lineRule="atLeast"/>
    </w:pPr>
    <w:rPr>
      <w:rFonts w:ascii="Arial" w:hAnsi="Arial" w:cs="Arial"/>
      <w:b/>
      <w:bCs/>
      <w:caps/>
      <w:color w:val="007B94"/>
      <w:sz w:val="20"/>
      <w:szCs w:val="20"/>
      <w:lang w:val="pt-BR"/>
    </w:rPr>
  </w:style>
  <w:style w:type="paragraph" w:customStyle="1" w:styleId="TextoReferncias">
    <w:name w:val="Texto Referências"/>
    <w:basedOn w:val="Semestilodepargrafo"/>
    <w:next w:val="Semestilodepargrafo"/>
    <w:uiPriority w:val="99"/>
    <w:rsid w:val="003B202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before="57"/>
      <w:ind w:left="283" w:hanging="283"/>
      <w:jc w:val="both"/>
    </w:pPr>
    <w:rPr>
      <w:rFonts w:ascii="Arial" w:hAnsi="Arial" w:cs="Arial"/>
      <w:sz w:val="16"/>
      <w:szCs w:val="16"/>
    </w:rPr>
  </w:style>
  <w:style w:type="character" w:customStyle="1" w:styleId="hgkelc">
    <w:name w:val="hgkelc"/>
    <w:uiPriority w:val="99"/>
    <w:rsid w:val="003B202F"/>
    <w:rPr>
      <w:rFonts w:ascii="Times New Roman" w:hAnsi="Times New Roman" w:cs="Times New Roman"/>
      <w:color w:val="000000"/>
      <w:w w:val="100"/>
    </w:rPr>
  </w:style>
  <w:style w:type="paragraph" w:customStyle="1" w:styleId="RBACTituloportugues">
    <w:name w:val="RBAC Titulo portugues"/>
    <w:basedOn w:val="Semestilodepargrafo"/>
    <w:next w:val="RBACtituloingles"/>
    <w:uiPriority w:val="99"/>
    <w:rsid w:val="007439E6"/>
    <w:rPr>
      <w:rFonts w:ascii="Arial" w:hAnsi="Arial" w:cs="Arial"/>
      <w:b/>
      <w:bCs/>
      <w:color w:val="007B94"/>
      <w:sz w:val="32"/>
      <w:szCs w:val="32"/>
    </w:rPr>
  </w:style>
  <w:style w:type="paragraph" w:customStyle="1" w:styleId="RBACtituloingles">
    <w:name w:val="RBAC titulo ingles"/>
    <w:basedOn w:val="RBACTituloportugues"/>
    <w:uiPriority w:val="99"/>
    <w:rsid w:val="007439E6"/>
    <w:pPr>
      <w:spacing w:before="57"/>
    </w:pPr>
    <w:rPr>
      <w:i/>
      <w:iCs/>
      <w:color w:val="000000"/>
      <w:sz w:val="24"/>
      <w:szCs w:val="24"/>
    </w:rPr>
  </w:style>
  <w:style w:type="paragraph" w:customStyle="1" w:styleId="RBACautor">
    <w:name w:val="RBAC autor"/>
    <w:basedOn w:val="Semestilodepargrafo"/>
    <w:next w:val="Semestilodepargrafo"/>
    <w:uiPriority w:val="99"/>
    <w:rsid w:val="007439E6"/>
    <w:pPr>
      <w:pBdr>
        <w:top w:val="single" w:sz="4" w:space="10" w:color="007B94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40" w:lineRule="atLeast"/>
    </w:pPr>
    <w:rPr>
      <w:rFonts w:ascii="Arial" w:hAnsi="Arial" w:cs="Arial"/>
      <w:i/>
      <w:iCs/>
      <w:sz w:val="16"/>
      <w:szCs w:val="16"/>
      <w:lang w:val="pt-PT"/>
    </w:rPr>
  </w:style>
  <w:style w:type="paragraph" w:customStyle="1" w:styleId="RBACafiliao">
    <w:name w:val="RBAC afiliação"/>
    <w:basedOn w:val="Semestilodepargrafo"/>
    <w:next w:val="Semestilodepargrafo"/>
    <w:uiPriority w:val="99"/>
    <w:rsid w:val="007439E6"/>
    <w:pPr>
      <w:tabs>
        <w:tab w:val="left" w:pos="113"/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0"/>
        <w:tab w:val="left" w:pos="1134"/>
        <w:tab w:val="left" w:pos="1247"/>
        <w:tab w:val="left" w:pos="1361"/>
        <w:tab w:val="left" w:pos="1474"/>
        <w:tab w:val="left" w:pos="1587"/>
        <w:tab w:val="left" w:pos="1701"/>
        <w:tab w:val="left" w:pos="1814"/>
        <w:tab w:val="left" w:pos="1928"/>
        <w:tab w:val="left" w:pos="2041"/>
        <w:tab w:val="left" w:pos="2154"/>
        <w:tab w:val="left" w:pos="2268"/>
        <w:tab w:val="left" w:pos="2381"/>
        <w:tab w:val="left" w:pos="2494"/>
        <w:tab w:val="left" w:pos="2608"/>
        <w:tab w:val="left" w:pos="2721"/>
        <w:tab w:val="left" w:pos="2835"/>
        <w:tab w:val="left" w:pos="2948"/>
        <w:tab w:val="left" w:pos="3061"/>
        <w:tab w:val="left" w:pos="3175"/>
        <w:tab w:val="left" w:pos="3288"/>
        <w:tab w:val="left" w:pos="3402"/>
        <w:tab w:val="left" w:pos="3515"/>
        <w:tab w:val="left" w:pos="3628"/>
        <w:tab w:val="left" w:pos="3742"/>
        <w:tab w:val="left" w:pos="3855"/>
        <w:tab w:val="left" w:pos="3969"/>
        <w:tab w:val="left" w:pos="4082"/>
        <w:tab w:val="left" w:pos="4195"/>
        <w:tab w:val="left" w:pos="4309"/>
      </w:tabs>
      <w:suppressAutoHyphens/>
      <w:ind w:left="113" w:hanging="113"/>
    </w:pPr>
    <w:rPr>
      <w:rFonts w:ascii="Arial" w:hAnsi="Arial" w:cs="Arial"/>
      <w:i/>
      <w:iCs/>
      <w:sz w:val="15"/>
      <w:szCs w:val="15"/>
    </w:rPr>
  </w:style>
  <w:style w:type="paragraph" w:customStyle="1" w:styleId="RBACrodap-legendabibliografica">
    <w:name w:val="RBAC rodapé - legenda bibliografica"/>
    <w:basedOn w:val="Semestilodepargrafo"/>
    <w:next w:val="Semestilodepargrafo"/>
    <w:uiPriority w:val="99"/>
    <w:rsid w:val="007439E6"/>
    <w:pPr>
      <w:suppressAutoHyphens/>
    </w:pPr>
    <w:rPr>
      <w:rFonts w:ascii="Arial" w:hAnsi="Arial" w:cs="Arial"/>
      <w:sz w:val="16"/>
      <w:szCs w:val="16"/>
    </w:rPr>
  </w:style>
  <w:style w:type="paragraph" w:customStyle="1" w:styleId="RBACRecebidoeAprovado">
    <w:name w:val="RBAC Recebido e Aprovado"/>
    <w:basedOn w:val="Semestilodepargrafo"/>
    <w:next w:val="Semestilodepargrafo"/>
    <w:uiPriority w:val="99"/>
    <w:rsid w:val="007439E6"/>
    <w:pPr>
      <w:suppressAutoHyphens/>
    </w:pPr>
    <w:rPr>
      <w:rFonts w:ascii="Arial" w:hAnsi="Arial" w:cs="Arial"/>
      <w:i/>
      <w:iCs/>
      <w:sz w:val="15"/>
      <w:szCs w:val="15"/>
    </w:rPr>
  </w:style>
  <w:style w:type="paragraph" w:customStyle="1" w:styleId="RBACresumoTITlinhaemcima">
    <w:name w:val="RBAC resumo TIT linha em cima"/>
    <w:basedOn w:val="Semestilodepargrafo"/>
    <w:next w:val="Semestilodepargrafo"/>
    <w:uiPriority w:val="99"/>
    <w:rsid w:val="007439E6"/>
    <w:pPr>
      <w:pBdr>
        <w:top w:val="single" w:sz="8" w:space="13" w:color="007B94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jc w:val="both"/>
    </w:pPr>
    <w:rPr>
      <w:rFonts w:ascii="Arial" w:hAnsi="Arial" w:cs="Arial"/>
      <w:b/>
      <w:bCs/>
      <w:i/>
      <w:iCs/>
      <w:sz w:val="16"/>
      <w:szCs w:val="16"/>
      <w:lang w:val="pt-BR"/>
    </w:rPr>
  </w:style>
  <w:style w:type="paragraph" w:customStyle="1" w:styleId="RBACTextoresumo">
    <w:name w:val="RBAC Texto resumo"/>
    <w:basedOn w:val="Semestilodepargrafo"/>
    <w:next w:val="Semestilodepargrafo"/>
    <w:uiPriority w:val="99"/>
    <w:rsid w:val="007439E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jc w:val="both"/>
    </w:pPr>
    <w:rPr>
      <w:rFonts w:ascii="Arial" w:hAnsi="Arial" w:cs="Arial"/>
      <w:sz w:val="16"/>
      <w:szCs w:val="16"/>
      <w:lang w:val="pt-BR"/>
    </w:rPr>
  </w:style>
  <w:style w:type="paragraph" w:customStyle="1" w:styleId="RBACresumolinhaembaixo">
    <w:name w:val="RBAC resumo linha embaixo"/>
    <w:basedOn w:val="Semestilodepargrafo"/>
    <w:next w:val="Semestilodepargrafo"/>
    <w:uiPriority w:val="99"/>
    <w:rsid w:val="007439E6"/>
    <w:pPr>
      <w:pBdr>
        <w:bottom w:val="single" w:sz="8" w:space="7" w:color="007B94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both"/>
    </w:pPr>
    <w:rPr>
      <w:rFonts w:ascii="Arial" w:hAnsi="Arial" w:cs="Arial"/>
      <w:sz w:val="16"/>
      <w:szCs w:val="16"/>
      <w:lang w:val="pt-BR"/>
    </w:rPr>
  </w:style>
  <w:style w:type="paragraph" w:customStyle="1" w:styleId="RBACentrettulo1">
    <w:name w:val="RBAC entretítulo 1"/>
    <w:basedOn w:val="Semestilodepargrafo"/>
    <w:next w:val="Semestilodepargrafo"/>
    <w:uiPriority w:val="99"/>
    <w:rsid w:val="007439E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spacing w:line="250" w:lineRule="atLeast"/>
    </w:pPr>
    <w:rPr>
      <w:rFonts w:ascii="Arial" w:hAnsi="Arial" w:cs="Arial"/>
      <w:b/>
      <w:bCs/>
      <w:caps/>
      <w:color w:val="007B94"/>
      <w:sz w:val="20"/>
      <w:szCs w:val="20"/>
      <w:lang w:val="pt-BR"/>
    </w:rPr>
  </w:style>
  <w:style w:type="paragraph" w:customStyle="1" w:styleId="RBACTEXTOgeral">
    <w:name w:val="RBAC TEXTO geral"/>
    <w:basedOn w:val="Semestilodepargrafo"/>
    <w:next w:val="Semestilodepargrafo"/>
    <w:uiPriority w:val="99"/>
    <w:rsid w:val="007439E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50" w:lineRule="atLeast"/>
      <w:ind w:firstLine="454"/>
      <w:jc w:val="both"/>
    </w:pPr>
    <w:rPr>
      <w:rFonts w:ascii="Arial" w:hAnsi="Arial" w:cs="Arial"/>
      <w:sz w:val="19"/>
      <w:szCs w:val="19"/>
      <w:lang w:val="pt-BR"/>
    </w:rPr>
  </w:style>
  <w:style w:type="paragraph" w:customStyle="1" w:styleId="RBACentrettulo2">
    <w:name w:val="RBAC entretítulo 2"/>
    <w:basedOn w:val="Semestilodepargrafo"/>
    <w:next w:val="Semestilodepargrafo"/>
    <w:uiPriority w:val="99"/>
    <w:rsid w:val="007439E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spacing w:line="250" w:lineRule="atLeast"/>
      <w:ind w:left="454"/>
    </w:pPr>
    <w:rPr>
      <w:rFonts w:ascii="Arial" w:hAnsi="Arial" w:cs="Arial"/>
      <w:b/>
      <w:bCs/>
      <w:sz w:val="19"/>
      <w:szCs w:val="19"/>
      <w:lang w:val="pt-BR"/>
    </w:rPr>
  </w:style>
  <w:style w:type="paragraph" w:customStyle="1" w:styleId="RBACabstracttitlinhasuperior">
    <w:name w:val="RBAC abstract tit linha superior"/>
    <w:basedOn w:val="Semestilodepargrafo"/>
    <w:next w:val="Semestilodepargrafo"/>
    <w:uiPriority w:val="99"/>
    <w:rsid w:val="007439E6"/>
    <w:pPr>
      <w:pBdr>
        <w:top w:val="single" w:sz="8" w:space="13" w:color="007B94"/>
      </w:pBdr>
      <w:suppressAutoHyphens/>
      <w:spacing w:before="57"/>
      <w:jc w:val="both"/>
    </w:pPr>
    <w:rPr>
      <w:rFonts w:ascii="Arial" w:hAnsi="Arial" w:cs="Arial"/>
      <w:b/>
      <w:bCs/>
      <w:i/>
      <w:iCs/>
      <w:sz w:val="16"/>
      <w:szCs w:val="16"/>
      <w:lang w:val="pt-BR"/>
    </w:rPr>
  </w:style>
  <w:style w:type="paragraph" w:customStyle="1" w:styleId="RBACTextoabstract">
    <w:name w:val="RBAC Texto abstract"/>
    <w:basedOn w:val="Semestilodepargrafo"/>
    <w:next w:val="Semestilodepargrafo"/>
    <w:uiPriority w:val="99"/>
    <w:rsid w:val="007439E6"/>
    <w:pPr>
      <w:suppressAutoHyphens/>
      <w:jc w:val="both"/>
    </w:pPr>
    <w:rPr>
      <w:rFonts w:ascii="Arial" w:hAnsi="Arial" w:cs="Arial"/>
      <w:i/>
      <w:iCs/>
      <w:sz w:val="16"/>
      <w:szCs w:val="16"/>
    </w:rPr>
  </w:style>
  <w:style w:type="paragraph" w:customStyle="1" w:styleId="RBACabstractlinhainferior">
    <w:name w:val="RBAC abstract linha inferior"/>
    <w:basedOn w:val="Semestilodepargrafo"/>
    <w:next w:val="Semestilodepargrafo"/>
    <w:uiPriority w:val="99"/>
    <w:rsid w:val="007439E6"/>
    <w:pPr>
      <w:pBdr>
        <w:bottom w:val="single" w:sz="8" w:space="7" w:color="007B94"/>
      </w:pBdr>
      <w:suppressAutoHyphens/>
      <w:spacing w:after="57"/>
      <w:jc w:val="both"/>
    </w:pPr>
    <w:rPr>
      <w:rFonts w:ascii="Arial" w:hAnsi="Arial" w:cs="Arial"/>
      <w:i/>
      <w:iCs/>
      <w:sz w:val="16"/>
      <w:szCs w:val="16"/>
      <w:lang w:val="pt-BR"/>
    </w:rPr>
  </w:style>
  <w:style w:type="paragraph" w:customStyle="1" w:styleId="RBACTextoReferncias">
    <w:name w:val="RBAC Texto Referências"/>
    <w:basedOn w:val="Semestilodepargrafo"/>
    <w:next w:val="Semestilodepargrafo"/>
    <w:uiPriority w:val="99"/>
    <w:rsid w:val="007439E6"/>
    <w:pPr>
      <w:tabs>
        <w:tab w:val="left" w:pos="283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</w:tabs>
      <w:suppressAutoHyphens/>
      <w:spacing w:before="28"/>
      <w:ind w:left="283" w:hanging="283"/>
      <w:jc w:val="both"/>
    </w:pPr>
    <w:rPr>
      <w:rFonts w:ascii="Arial" w:hAnsi="Arial" w:cs="Arial"/>
      <w:sz w:val="16"/>
      <w:szCs w:val="16"/>
    </w:rPr>
  </w:style>
  <w:style w:type="character" w:styleId="nfase">
    <w:name w:val="Emphasis"/>
    <w:basedOn w:val="Fontepargpadro"/>
    <w:uiPriority w:val="99"/>
    <w:qFormat/>
    <w:rsid w:val="007439E6"/>
    <w:rPr>
      <w:i/>
      <w:iCs/>
      <w:color w:val="000000"/>
      <w:w w:val="100"/>
    </w:rPr>
  </w:style>
  <w:style w:type="paragraph" w:customStyle="1" w:styleId="RBACTabelattulo">
    <w:name w:val="RBAC Tabela título"/>
    <w:basedOn w:val="Semestilodepargrafo"/>
    <w:next w:val="Semestilodepargrafo"/>
    <w:uiPriority w:val="99"/>
    <w:rsid w:val="007439E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suppressAutoHyphens/>
      <w:jc w:val="both"/>
    </w:pPr>
    <w:rPr>
      <w:rFonts w:ascii="Arial" w:hAnsi="Arial" w:cs="Arial"/>
      <w:sz w:val="16"/>
      <w:szCs w:val="16"/>
    </w:rPr>
  </w:style>
  <w:style w:type="paragraph" w:customStyle="1" w:styleId="RBACTabelalegenda">
    <w:name w:val="RBAC Tabela legenda"/>
    <w:basedOn w:val="Semestilodepargrafo"/>
    <w:next w:val="Semestilodepargrafo"/>
    <w:uiPriority w:val="99"/>
    <w:rsid w:val="007439E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suppressAutoHyphens/>
      <w:spacing w:before="85"/>
      <w:jc w:val="both"/>
    </w:pPr>
    <w:rPr>
      <w:rFonts w:ascii="Arial" w:hAnsi="Arial" w:cs="Arial"/>
      <w:sz w:val="14"/>
      <w:szCs w:val="14"/>
    </w:rPr>
  </w:style>
  <w:style w:type="paragraph" w:customStyle="1" w:styleId="RBACTextotabela">
    <w:name w:val="RBAC Texto tabela"/>
    <w:basedOn w:val="Semestilodepargrafo"/>
    <w:next w:val="Semestilodepargrafo"/>
    <w:uiPriority w:val="99"/>
    <w:rsid w:val="007439E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suppressAutoHyphens/>
    </w:pPr>
    <w:rPr>
      <w:rFonts w:ascii="Arial" w:hAnsi="Arial" w:cs="Arial"/>
      <w:sz w:val="16"/>
      <w:szCs w:val="16"/>
    </w:rPr>
  </w:style>
  <w:style w:type="paragraph" w:customStyle="1" w:styleId="RBACFigurattulo">
    <w:name w:val="RBAC Figura título"/>
    <w:basedOn w:val="Semestilodepargrafo"/>
    <w:next w:val="Semestilodepargrafo"/>
    <w:uiPriority w:val="99"/>
    <w:rsid w:val="007439E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suppressAutoHyphens/>
      <w:jc w:val="both"/>
    </w:pPr>
    <w:rPr>
      <w:rFonts w:ascii="Arial" w:hAnsi="Arial" w:cs="Arial"/>
      <w:i/>
      <w:iCs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439E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439E6"/>
    <w:rPr>
      <w:color w:val="605E5C"/>
      <w:shd w:val="clear" w:color="auto" w:fill="E1DFDD"/>
    </w:rPr>
  </w:style>
  <w:style w:type="paragraph" w:customStyle="1" w:styleId="RBACcorrespondenciatit">
    <w:name w:val="RBAC correspondencia tit"/>
    <w:basedOn w:val="Semestilodepargrafo"/>
    <w:next w:val="Semestilodepargrafo"/>
    <w:uiPriority w:val="99"/>
    <w:rsid w:val="007439E6"/>
    <w:pPr>
      <w:pBdr>
        <w:top w:val="single" w:sz="4" w:space="10" w:color="007B94"/>
      </w:pBdr>
      <w:tabs>
        <w:tab w:val="left" w:pos="283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</w:tabs>
      <w:suppressAutoHyphens/>
      <w:spacing w:after="28"/>
      <w:ind w:left="283" w:hanging="283"/>
      <w:jc w:val="right"/>
    </w:pPr>
    <w:rPr>
      <w:rFonts w:ascii="Arial" w:hAnsi="Arial" w:cs="Arial"/>
      <w:sz w:val="16"/>
      <w:szCs w:val="16"/>
      <w:lang w:val="pt-BR"/>
    </w:rPr>
  </w:style>
  <w:style w:type="paragraph" w:customStyle="1" w:styleId="RBACcorrespondencia">
    <w:name w:val="RBAC correspondencia"/>
    <w:basedOn w:val="Semestilodepargrafo"/>
    <w:next w:val="Semestilodepargrafo"/>
    <w:uiPriority w:val="99"/>
    <w:rsid w:val="007439E6"/>
    <w:pPr>
      <w:suppressAutoHyphens/>
      <w:jc w:val="right"/>
    </w:pPr>
    <w:rPr>
      <w:rFonts w:ascii="Arial" w:hAnsi="Arial" w:cs="Arial"/>
      <w:i/>
      <w:i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9F4867"/>
    <w:pPr>
      <w:ind w:left="720"/>
      <w:contextualSpacing/>
    </w:pPr>
  </w:style>
  <w:style w:type="paragraph" w:customStyle="1" w:styleId="RBACTextotabelabullet">
    <w:name w:val="RBAC Texto tabela bullet"/>
    <w:basedOn w:val="Semestilodepargrafo"/>
    <w:next w:val="Semestilodepargrafo"/>
    <w:uiPriority w:val="99"/>
    <w:rsid w:val="009542A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suppressAutoHyphens/>
      <w:ind w:left="170" w:hanging="170"/>
    </w:pPr>
    <w:rPr>
      <w:rFonts w:ascii="Arial" w:hAnsi="Arial" w:cs="Arial"/>
      <w:sz w:val="16"/>
      <w:szCs w:val="16"/>
    </w:rPr>
  </w:style>
  <w:style w:type="paragraph" w:customStyle="1" w:styleId="RBACentrettulo3">
    <w:name w:val="RBAC entretítulo 3"/>
    <w:basedOn w:val="Semestilodepargrafo"/>
    <w:next w:val="Semestilodepargrafo"/>
    <w:uiPriority w:val="99"/>
    <w:rsid w:val="00D062C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spacing w:line="250" w:lineRule="atLeast"/>
      <w:ind w:left="454"/>
    </w:pPr>
    <w:rPr>
      <w:rFonts w:ascii="Arial" w:hAnsi="Arial" w:cs="Arial"/>
      <w:i/>
      <w:iCs/>
      <w:sz w:val="19"/>
      <w:szCs w:val="19"/>
      <w:lang w:val="pt-BR"/>
    </w:rPr>
  </w:style>
  <w:style w:type="character" w:styleId="Forte">
    <w:name w:val="Strong"/>
    <w:basedOn w:val="Fontepargpadro"/>
    <w:uiPriority w:val="99"/>
    <w:qFormat/>
    <w:rsid w:val="00CC3E59"/>
    <w:rPr>
      <w:b/>
      <w:bCs/>
      <w:color w:val="000000"/>
      <w:w w:val="100"/>
    </w:rPr>
  </w:style>
  <w:style w:type="character" w:customStyle="1" w:styleId="longtext">
    <w:name w:val="long_text"/>
    <w:uiPriority w:val="99"/>
    <w:rsid w:val="00B60795"/>
    <w:rPr>
      <w:rFonts w:ascii="Times New Roman" w:hAnsi="Times New Roman" w:cs="Times New Roman"/>
      <w:color w:val="000000"/>
      <w:w w:val="100"/>
    </w:rPr>
  </w:style>
  <w:style w:type="character" w:customStyle="1" w:styleId="EstilodelistaimportadadoWord1EstilosparalistasimportadasdoWordRTF">
    <w:name w:val="Estilo de lista importada do Word1 (Estilos para listas importadas do Word/RTF)"/>
    <w:uiPriority w:val="99"/>
    <w:rsid w:val="00B60795"/>
    <w:rPr>
      <w:rFonts w:ascii="Times New Roman" w:hAnsi="Times New Roman" w:cs="Times New Roman"/>
      <w:w w:val="100"/>
    </w:rPr>
  </w:style>
  <w:style w:type="character" w:customStyle="1" w:styleId="verdpreta10pt">
    <w:name w:val="verdpreta10pt"/>
    <w:uiPriority w:val="99"/>
    <w:rsid w:val="00D000DF"/>
    <w:rPr>
      <w:color w:val="000000"/>
      <w:w w:val="100"/>
    </w:rPr>
  </w:style>
  <w:style w:type="paragraph" w:customStyle="1" w:styleId="RBACcategoriaartigo">
    <w:name w:val="RBAC categoria artigo"/>
    <w:basedOn w:val="Semestilodepargrafo"/>
    <w:next w:val="Semestilodepargrafo"/>
    <w:uiPriority w:val="99"/>
    <w:rsid w:val="007F42F9"/>
    <w:pPr>
      <w:pBdr>
        <w:bottom w:val="single" w:sz="8" w:space="3" w:color="007B94"/>
      </w:pBdr>
      <w:suppressAutoHyphens/>
      <w:jc w:val="both"/>
    </w:pPr>
    <w:rPr>
      <w:rFonts w:ascii="Arial" w:hAnsi="Arial" w:cs="Arial"/>
      <w:b/>
      <w:bCs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4246</Words>
  <Characters>22934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Corrêa Filho</dc:creator>
  <cp:keywords/>
  <dc:description/>
  <cp:lastModifiedBy>Mauro Corrêa Filho</cp:lastModifiedBy>
  <cp:revision>3</cp:revision>
  <dcterms:created xsi:type="dcterms:W3CDTF">2021-10-05T13:00:00Z</dcterms:created>
  <dcterms:modified xsi:type="dcterms:W3CDTF">2021-10-05T13:03:00Z</dcterms:modified>
</cp:coreProperties>
</file>